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Приложение № 1 к Документации о закупке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Технические требования на оказание услуг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keepLines/>
        <w:keepNext/>
        <w:rPr>
          <w:b/>
          <w:bCs/>
        </w:rPr>
      </w:pPr>
      <w:r>
        <w:rPr>
          <w:b/>
          <w:highlight w:val="white"/>
        </w:rPr>
        <w:t xml:space="preserve">ОКПД2 86.1</w:t>
      </w:r>
      <w:r>
        <w:rPr>
          <w:b/>
          <w:highlight w:val="white"/>
        </w:rPr>
        <w:t xml:space="preserve"> </w:t>
      </w:r>
      <w:r>
        <w:rPr>
          <w:b/>
          <w:highlight w:val="white"/>
        </w:rPr>
        <w:t xml:space="preserve">О</w:t>
      </w:r>
      <w:r>
        <w:rPr>
          <w:b/>
          <w:highlight w:val="none"/>
        </w:rPr>
        <w:t xml:space="preserve">к</w:t>
      </w:r>
      <w:r>
        <w:rPr>
          <w:b/>
        </w:rPr>
        <w:t xml:space="preserve">азание услуг по проведению периодического медицинского осмотра работников структурного подразделения «Благовещенская ТЭЦ», 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b/>
        </w:rPr>
        <w:t xml:space="preserve">г. Благовещенска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keepLines/>
        <w:keepNext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keepLines/>
        <w:keepNext/>
        <w:rPr>
          <w:rFonts w:eastAsia="Calibri"/>
        </w:rPr>
      </w:pPr>
      <w:r>
        <w:rPr>
          <w:rFonts w:eastAsia="Calibri"/>
          <w:b/>
          <w:bCs/>
        </w:rPr>
        <w:t xml:space="preserve">Лот № </w:t>
      </w:r>
      <w:r>
        <w:rPr>
          <w:b/>
          <w:bCs/>
        </w:rPr>
        <w:t xml:space="preserve">41035018-ЭКСП ПРОД-2026-ДГК-БлТЭЦ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b/>
          <w:highlight w:val="none"/>
        </w:rPr>
      </w:pPr>
      <w:r>
        <w:rPr>
          <w:rFonts w:eastAsia="Calibri"/>
          <w:sz w:val="24"/>
          <w:szCs w:val="24"/>
        </w:rPr>
        <w:br w:type="page" w:clear="all"/>
      </w:r>
      <w:r>
        <w:rPr>
          <w:b/>
          <w:highlight w:val="none"/>
        </w:rPr>
        <w:t xml:space="preserve">СОДЕРЖАНИЕ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68"/>
        <w:tabs>
          <w:tab w:val="left" w:pos="560" w:leader="none"/>
          <w:tab w:val="right" w:pos="9911" w:leader="none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pPr>
      <w:r>
        <w:rPr>
          <w:rFonts w:cs="Times New Roman"/>
          <w:bCs w:val="0"/>
          <w:sz w:val="20"/>
          <w:szCs w:val="20"/>
          <w:highlight w:val="none"/>
        </w:rPr>
        <w:fldChar w:fldCharType="begin"/>
      </w:r>
      <w:r>
        <w:rPr>
          <w:rFonts w:cs="Times New Roman"/>
          <w:highlight w:val="none"/>
        </w:rPr>
        <w:instrText xml:space="preserve"> TOC \o "1-4" \h \z \u </w:instrText>
      </w:r>
      <w:r>
        <w:rPr>
          <w:rFonts w:cs="Times New Roman"/>
          <w:bCs w:val="0"/>
          <w:sz w:val="20"/>
          <w:szCs w:val="20"/>
          <w:highlight w:val="none"/>
        </w:rPr>
        <w:fldChar w:fldCharType="separate"/>
      </w:r>
      <w:hyperlink w:tooltip="#_Toc138080365" w:anchor="_Toc138080365" w:history="1">
        <w:r>
          <w:rPr>
            <w:rStyle w:val="970"/>
            <w:highlight w:val="non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  <w:highlight w:val="none"/>
          </w:rPr>
          <w:tab/>
        </w:r>
        <w:r>
          <w:rPr>
            <w:rStyle w:val="970"/>
            <w:highlight w:val="none"/>
          </w:rPr>
          <w:t xml:space="preserve">Общие сведения 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_Toc138080365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</w:p>
    <w:p>
      <w:pPr>
        <w:pStyle w:val="981"/>
        <w:rPr>
          <w:rFonts w:asciiTheme="minorHAnsi" w:hAnsiTheme="minorHAnsi" w:eastAsiaTheme="minorEastAsia" w:cstheme="minorBidi"/>
          <w:sz w:val="22"/>
          <w:szCs w:val="22"/>
          <w:highlight w:val="none"/>
        </w:rPr>
      </w:pPr>
      <w:r>
        <w:rPr>
          <w:highlight w:val="none"/>
        </w:rPr>
      </w:r>
      <w:hyperlink w:tooltip="#_Toc138080366" w:anchor="_Toc138080366" w:history="1">
        <w:r>
          <w:rPr>
            <w:rStyle w:val="970"/>
            <w:iCs/>
            <w:highlight w:val="none"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  <w:highlight w:val="none"/>
          </w:rPr>
          <w:tab/>
        </w:r>
        <w:r>
          <w:rPr>
            <w:rStyle w:val="970"/>
            <w:highlight w:val="none"/>
          </w:rPr>
          <w:t xml:space="preserve">Наименование оказываемой услуги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_Toc138080366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</w:p>
    <w:p>
      <w:pPr>
        <w:pStyle w:val="981"/>
        <w:rPr>
          <w:rFonts w:asciiTheme="minorHAnsi" w:hAnsiTheme="minorHAnsi" w:eastAsiaTheme="minorEastAsia" w:cstheme="minorBidi"/>
          <w:sz w:val="22"/>
          <w:szCs w:val="22"/>
          <w:highlight w:val="none"/>
        </w:rPr>
      </w:pPr>
      <w:r>
        <w:rPr>
          <w:highlight w:val="none"/>
        </w:rPr>
        <w:t xml:space="preserve">1.2.</w:t>
      </w:r>
      <w:r>
        <w:rPr>
          <w:highlight w:val="none"/>
        </w:rPr>
        <w:tab/>
        <w:t xml:space="preserve">Цель оказания услуг</w:t>
      </w:r>
      <w:r>
        <w:rPr>
          <w:highlight w:val="none"/>
        </w:rPr>
        <w:tab/>
        <w:t xml:space="preserve">3</w:t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</w:p>
    <w:p>
      <w:pPr>
        <w:pStyle w:val="968"/>
        <w:tabs>
          <w:tab w:val="left" w:pos="560" w:leader="none"/>
          <w:tab w:val="right" w:pos="9911" w:leader="none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pPr>
      <w:r>
        <w:rPr>
          <w:highlight w:val="none"/>
        </w:rPr>
      </w:r>
      <w:hyperlink w:tooltip="#_Toc138080370" w:anchor="_Toc138080370" w:history="1">
        <w:r>
          <w:rPr>
            <w:rStyle w:val="970"/>
            <w:highlight w:val="non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  <w:highlight w:val="none"/>
          </w:rPr>
          <w:tab/>
        </w:r>
        <w:r>
          <w:rPr>
            <w:rStyle w:val="970"/>
            <w:highlight w:val="none"/>
          </w:rPr>
          <w:t xml:space="preserve">Требования к услугам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_Toc138080370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</w:p>
    <w:p>
      <w:pPr>
        <w:pStyle w:val="981"/>
        <w:rPr>
          <w:rFonts w:asciiTheme="minorHAnsi" w:hAnsiTheme="minorHAnsi" w:eastAsiaTheme="minorEastAsia" w:cstheme="minorBidi"/>
          <w:sz w:val="22"/>
          <w:szCs w:val="22"/>
          <w:highlight w:val="none"/>
        </w:rPr>
      </w:pPr>
      <w:r>
        <w:rPr>
          <w:highlight w:val="none"/>
        </w:rPr>
      </w:r>
      <w:hyperlink w:tooltip="#_Toc138080371" w:anchor="_Toc138080371" w:history="1">
        <w:r>
          <w:rPr>
            <w:rStyle w:val="970"/>
            <w:iCs/>
            <w:highlight w:val="none"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  <w:highlight w:val="none"/>
          </w:rPr>
          <w:tab/>
        </w:r>
        <w:r>
          <w:rPr>
            <w:rStyle w:val="970"/>
            <w:highlight w:val="none"/>
          </w:rPr>
          <w:t xml:space="preserve">Требования к объемам и срокам оказания услуг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_Toc138080371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</w:p>
    <w:p>
      <w:pPr>
        <w:pStyle w:val="969"/>
        <w:ind w:left="567"/>
        <w:tabs>
          <w:tab w:val="left" w:pos="1120" w:leader="none"/>
          <w:tab w:val="right" w:pos="9911" w:leader="none"/>
        </w:tabs>
        <w:rPr>
          <w:rFonts w:asciiTheme="minorHAnsi" w:hAnsiTheme="minorHAnsi" w:eastAsiaTheme="minorEastAsia" w:cstheme="minorBidi"/>
          <w:sz w:val="22"/>
          <w:szCs w:val="22"/>
          <w:highlight w:val="none"/>
        </w:rPr>
      </w:pPr>
      <w:r>
        <w:rPr>
          <w:highlight w:val="none"/>
        </w:rPr>
      </w:r>
      <w:hyperlink w:tooltip="#_Toc138080372" w:anchor="_Toc138080372" w:history="1">
        <w:r>
          <w:rPr>
            <w:rStyle w:val="970"/>
            <w:highlight w:val="none"/>
          </w:rPr>
          <w:t xml:space="preserve">2.1.1.</w:t>
        </w:r>
        <w:r>
          <w:rPr>
            <w:rFonts w:asciiTheme="minorHAnsi" w:hAnsiTheme="minorHAnsi" w:eastAsiaTheme="minorEastAsia" w:cstheme="minorBidi"/>
            <w:sz w:val="22"/>
            <w:szCs w:val="22"/>
            <w:highlight w:val="none"/>
          </w:rPr>
          <w:tab/>
        </w:r>
        <w:r>
          <w:rPr>
            <w:rStyle w:val="970"/>
            <w:highlight w:val="none"/>
          </w:rPr>
          <w:t xml:space="preserve">Требования к перечню и объему услуг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_Toc138080372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</w:p>
    <w:p>
      <w:pPr>
        <w:pStyle w:val="968"/>
        <w:tabs>
          <w:tab w:val="right" w:pos="9911" w:leader="none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pPr>
      <w:r>
        <w:rPr>
          <w:highlight w:val="none"/>
        </w:rPr>
      </w:r>
      <w:hyperlink w:tooltip="#_Toc138080373" w:anchor="_Toc138080373" w:history="1">
        <w:r>
          <w:rPr>
            <w:rStyle w:val="970"/>
            <w:highlight w:val="none"/>
          </w:rPr>
          <w:t xml:space="preserve">Таблица 1. Перечень и объем оказываемых услуг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_Toc138080373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</w:p>
    <w:p>
      <w:pPr>
        <w:pStyle w:val="969"/>
        <w:ind w:left="567"/>
        <w:tabs>
          <w:tab w:val="left" w:pos="1120" w:leader="none"/>
          <w:tab w:val="right" w:pos="9911" w:leader="none"/>
        </w:tabs>
        <w:rPr>
          <w:rFonts w:asciiTheme="minorHAnsi" w:hAnsiTheme="minorHAnsi" w:eastAsiaTheme="minorEastAsia" w:cstheme="minorBidi"/>
          <w:sz w:val="22"/>
          <w:szCs w:val="22"/>
          <w:highlight w:val="none"/>
        </w:rPr>
      </w:pPr>
      <w:r>
        <w:rPr>
          <w:highlight w:val="none"/>
        </w:rPr>
      </w:r>
      <w:bookmarkStart w:id="3" w:name="_GoBack"/>
      <w:r>
        <w:rPr>
          <w:highlight w:val="none"/>
        </w:rPr>
      </w:r>
      <w:bookmarkEnd w:id="3"/>
      <w:r>
        <w:rPr>
          <w:highlight w:val="none"/>
        </w:rPr>
        <w:fldChar w:fldCharType="begin"/>
      </w:r>
      <w:r>
        <w:rPr>
          <w:highlight w:val="none"/>
        </w:rPr>
        <w:instrText xml:space="preserve"> HYPERLINK \l "_Toc138080374" \o "#_Toc138080374" </w:instrText>
      </w:r>
      <w:r>
        <w:rPr>
          <w:highlight w:val="none"/>
        </w:rPr>
        <w:fldChar w:fldCharType="separate"/>
      </w:r>
      <w:r>
        <w:rPr>
          <w:rStyle w:val="970"/>
          <w:highlight w:val="none"/>
        </w:rPr>
        <w:t xml:space="preserve">2.1.2.</w:t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  <w:tab/>
      </w:r>
      <w:r>
        <w:rPr>
          <w:rStyle w:val="970"/>
          <w:highlight w:val="none"/>
        </w:rPr>
        <w:t xml:space="preserve">Требования к срокам оказания услуг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_Toc138080374 \h </w:instrText>
      </w:r>
      <w:r>
        <w:rPr>
          <w:highlight w:val="none"/>
        </w:rPr>
        <w:fldChar w:fldCharType="separate"/>
        <w:t xml:space="preserve">44</w:t>
      </w:r>
      <w:r>
        <w:rPr>
          <w:highlight w:val="none"/>
        </w:rPr>
        <w:fldChar w:fldCharType="end"/>
      </w:r>
      <w:r>
        <w:rPr>
          <w:highlight w:val="none"/>
        </w:rPr>
        <w:fldChar w:fldCharType="end"/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</w:p>
    <w:p>
      <w:pPr>
        <w:pStyle w:val="968"/>
        <w:tabs>
          <w:tab w:val="right" w:pos="9911" w:leader="none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pPr>
      <w:r>
        <w:rPr>
          <w:highlight w:val="none"/>
        </w:rPr>
      </w:r>
      <w:hyperlink w:tooltip="#_Toc138080375" w:anchor="_Toc138080375" w:history="1">
        <w:r>
          <w:rPr>
            <w:rStyle w:val="970"/>
            <w:highlight w:val="none"/>
          </w:rPr>
          <w:t xml:space="preserve">Таблица 2. Требования к срокам оказания услуг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_Toc138080375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44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</w:p>
    <w:p>
      <w:pPr>
        <w:pStyle w:val="981"/>
        <w:rPr>
          <w:rFonts w:asciiTheme="minorHAnsi" w:hAnsiTheme="minorHAnsi" w:eastAsiaTheme="minorEastAsia" w:cstheme="minorBidi"/>
          <w:sz w:val="22"/>
          <w:szCs w:val="22"/>
          <w:highlight w:val="none"/>
        </w:rPr>
      </w:pPr>
      <w:r>
        <w:rPr>
          <w:highlight w:val="none"/>
        </w:rPr>
      </w:r>
      <w:hyperlink w:tooltip="#_Toc138080376" w:anchor="_Toc138080376" w:history="1">
        <w:r>
          <w:rPr>
            <w:rStyle w:val="970"/>
            <w:iCs/>
            <w:highlight w:val="none"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  <w:highlight w:val="none"/>
          </w:rPr>
          <w:tab/>
        </w:r>
        <w:r>
          <w:rPr>
            <w:rStyle w:val="970"/>
            <w:highlight w:val="none"/>
          </w:rPr>
          <w:t xml:space="preserve">Требования к качеству услуг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_Toc138080376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  <w:t xml:space="preserve">45</w:t>
        </w:r>
        <w:r>
          <w:rPr>
            <w:highlight w:val="none"/>
          </w:rPr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sz w:val="22"/>
          <w:szCs w:val="22"/>
          <w:highlight w:val="none"/>
        </w:rPr>
      </w:r>
    </w:p>
    <w:p>
      <w:pPr>
        <w:pStyle w:val="968"/>
        <w:tabs>
          <w:tab w:val="right" w:pos="9911" w:leader="none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pPr>
      <w:r>
        <w:rPr>
          <w:highlight w:val="none"/>
        </w:rPr>
      </w:r>
      <w:hyperlink w:tooltip="#_Toc138080377" w:anchor="_Toc138080377" w:history="1">
        <w:r>
          <w:rPr>
            <w:rStyle w:val="970"/>
            <w:highlight w:val="none"/>
          </w:rPr>
          <w:t xml:space="preserve">Таблица 3. Требования к качеству услуг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_Toc138080377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45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</w:p>
    <w:p>
      <w:pPr>
        <w:pStyle w:val="968"/>
        <w:tabs>
          <w:tab w:val="right" w:pos="9911" w:leader="none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pPr>
      <w:r>
        <w:rPr>
          <w:highlight w:val="none"/>
        </w:rPr>
      </w:r>
      <w:hyperlink w:tooltip="#_Toc138080378" w:anchor="_Toc138080378" w:history="1">
        <w:r>
          <w:rPr>
            <w:rStyle w:val="970"/>
            <w:highlight w:val="none"/>
          </w:rPr>
          <w:t xml:space="preserve">3. Требования к документации по ценообразованию на этапе закупки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_Toc138080378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49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  <w:highlight w:val="none"/>
        </w:rPr>
      </w:r>
    </w:p>
    <w:p>
      <w:pPr>
        <w:pStyle w:val="968"/>
        <w:tabs>
          <w:tab w:val="right" w:pos="9911" w:leader="none"/>
        </w:tabs>
        <w:rPr>
          <w:highlight w:val="none"/>
        </w:rPr>
      </w:pPr>
      <w:r>
        <w:rPr>
          <w:highlight w:val="none"/>
        </w:rPr>
      </w:r>
      <w:hyperlink w:tooltip="#_Toc138080378" w:anchor="_Toc138080378" w:history="1">
        <w:r>
          <w:rPr>
            <w:rStyle w:val="970"/>
            <w:highlight w:val="none"/>
          </w:rPr>
          <w:t xml:space="preserve">4. Требования к документации по ценообразованию на этапе заключения (исполнения) договора </w:t>
        </w:r>
        <w:r>
          <w:rPr>
            <w:rStyle w:val="970"/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tab/>
        </w:r>
        <w:r>
          <w:rPr>
            <w:highlight w:val="none"/>
          </w:rPr>
          <w:tab/>
        </w:r>
        <w:r>
          <w:rPr>
            <w:highlight w:val="none"/>
          </w:rPr>
          <w:tab/>
        </w:r>
        <w:r>
          <w:rPr>
            <w:highlight w:val="none"/>
          </w:rPr>
          <w:tab/>
          <w:instrText xml:space="preserve"> PAGEREF _Toc138080378 \h </w:instrText>
        </w:r>
        <w:r>
          <w:rPr>
            <w:highlight w:val="none"/>
          </w:rPr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49</w:t>
        </w:r>
        <w:r>
          <w:rPr>
            <w:highlight w:val="none"/>
          </w:rPr>
          <w:fldChar w:fldCharType="end"/>
        </w:r>
      </w:hyperlink>
      <w:r>
        <w:rPr>
          <w:highlight w:val="none"/>
        </w:rPr>
      </w:r>
      <w:r>
        <w:rPr>
          <w:highlight w:val="none"/>
        </w:rPr>
      </w:r>
    </w:p>
    <w:p>
      <w:pPr>
        <w:pStyle w:val="790"/>
        <w:numPr>
          <w:ilvl w:val="0"/>
          <w:numId w:val="0"/>
        </w:numPr>
        <w:rPr>
          <w:b w:val="0"/>
          <w:highlight w:val="none"/>
        </w:rPr>
      </w:pPr>
      <w:r>
        <w:rPr>
          <w:rFonts w:eastAsia="Times New Roman"/>
          <w:b w:val="0"/>
          <w:highlight w:val="none"/>
        </w:rPr>
        <w:fldChar w:fldCharType="end"/>
      </w:r>
      <w:r>
        <w:rPr>
          <w:b w:val="0"/>
          <w:highlight w:val="none"/>
        </w:rPr>
      </w:r>
      <w:r>
        <w:rPr>
          <w:b w:val="0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789"/>
      </w:pPr>
      <w:r/>
      <w:bookmarkStart w:id="4" w:name="_Toc138080365"/>
      <w:r>
        <w:t xml:space="preserve">Общие сведения.</w:t>
      </w:r>
      <w:bookmarkEnd w:id="4"/>
      <w:r/>
      <w:r/>
    </w:p>
    <w:p>
      <w:pPr>
        <w:pStyle w:val="792"/>
        <w:ind w:firstLine="418"/>
      </w:pPr>
      <w:r/>
      <w:bookmarkStart w:id="5" w:name="_Toc46743506"/>
      <w:r/>
      <w:bookmarkStart w:id="6" w:name="_Toc138080366"/>
      <w:r>
        <w:t xml:space="preserve">Наименование </w:t>
      </w:r>
      <w:bookmarkEnd w:id="5"/>
      <w:r>
        <w:t xml:space="preserve">оказываемой услуги</w:t>
      </w:r>
      <w:bookmarkEnd w:id="6"/>
      <w:r/>
      <w:r/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rStyle w:val="1031"/>
          <w:bCs/>
          <w:sz w:val="24"/>
          <w:szCs w:val="24"/>
        </w:rPr>
      </w:pPr>
      <w:r/>
      <w:bookmarkStart w:id="7" w:name="_Toc46743507"/>
      <w:r>
        <w:rPr>
          <w:bCs/>
          <w:i/>
          <w:iCs/>
          <w:sz w:val="24"/>
          <w:szCs w:val="24"/>
          <w:highlight w:val="white"/>
        </w:rPr>
        <w:t xml:space="preserve">ОКПД2 86.1</w:t>
      </w:r>
      <w:r>
        <w:rPr>
          <w:bCs/>
          <w:i/>
          <w:iCs/>
          <w:sz w:val="24"/>
          <w:szCs w:val="24"/>
          <w:highlight w:val="white"/>
        </w:rPr>
        <w:t xml:space="preserve"> О</w:t>
      </w:r>
      <w:r>
        <w:rPr>
          <w:bCs/>
          <w:i/>
          <w:iCs/>
          <w:sz w:val="24"/>
          <w:szCs w:val="24"/>
        </w:rPr>
        <w:t xml:space="preserve">казание услуг по проведению периодического медицинского осмотра работников структурного подразделения «Благовещенская ТЭЦ», г. Благовещенск</w:t>
      </w:r>
      <w:r>
        <w:rPr>
          <w:rFonts w:eastAsia="Calibri"/>
          <w:bCs/>
          <w:i/>
          <w:iCs/>
          <w:sz w:val="24"/>
          <w:szCs w:val="24"/>
        </w:rPr>
        <w:t xml:space="preserve"> </w:t>
      </w:r>
      <w:r>
        <w:rPr>
          <w:rStyle w:val="1031"/>
          <w:bCs/>
          <w:sz w:val="24"/>
          <w:szCs w:val="24"/>
        </w:rPr>
      </w:r>
      <w:r>
        <w:rPr>
          <w:rStyle w:val="1031"/>
          <w:bCs/>
          <w:sz w:val="24"/>
          <w:szCs w:val="24"/>
        </w:rPr>
      </w:r>
    </w:p>
    <w:p>
      <w:pPr>
        <w:pStyle w:val="792"/>
        <w:ind w:left="431" w:hanging="431"/>
        <w:spacing w:before="240"/>
      </w:pPr>
      <w:r/>
      <w:bookmarkStart w:id="8" w:name="_Toc138080367"/>
      <w:r>
        <w:t xml:space="preserve">Цель </w:t>
      </w:r>
      <w:bookmarkEnd w:id="7"/>
      <w:r>
        <w:t xml:space="preserve">оказания услуг</w:t>
      </w:r>
      <w:bookmarkEnd w:id="8"/>
      <w:r>
        <w:t xml:space="preserve"> </w:t>
      </w:r>
      <w:r/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</w:pPr>
      <w:r>
        <w:rPr>
          <w:i/>
          <w:sz w:val="24"/>
          <w:szCs w:val="24"/>
        </w:rPr>
        <w:t xml:space="preserve">Целью проведения периодического медицинского осмотра персонала является: динамическое наблюдение за состоянием здоровья работников, своевременное выявление начальных форм профессиональных заболеваний, ранних признаков воздействия вре</w:t>
      </w:r>
      <w:r>
        <w:rPr>
          <w:i/>
          <w:sz w:val="24"/>
          <w:szCs w:val="24"/>
        </w:rPr>
        <w:t xml:space="preserve">дных и (или) опасных производственных факторов рабочей среды, трудового процесса на состояние здоровья работников, формирование групп риска развития профессиональных заболеваний, выявление медицинских противопоказаний к осуществлению отдельных видов работ.</w:t>
      </w:r>
      <w:r/>
    </w:p>
    <w:p>
      <w:pPr>
        <w:ind w:firstLine="567"/>
        <w:jc w:val="both"/>
        <w:rPr>
          <w:bCs/>
          <w:i/>
          <w:sz w:val="24"/>
          <w:szCs w:val="24"/>
        </w:rPr>
      </w:pPr>
      <w:r>
        <w:rPr>
          <w:i/>
          <w:sz w:val="24"/>
          <w:szCs w:val="24"/>
        </w:rPr>
        <w:t xml:space="preserve">«Задача: проведение периодического медицинского осмотра работников структурного подразделения «Благовещенская ТЭЦ».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pStyle w:val="789"/>
        <w:ind w:left="357" w:hanging="357"/>
        <w:jc w:val="center"/>
        <w:keepLines/>
        <w:rPr>
          <w:caps/>
        </w:rPr>
      </w:pPr>
      <w:r/>
      <w:bookmarkStart w:id="9" w:name="_Toc51339693"/>
      <w:r/>
      <w:bookmarkStart w:id="10" w:name="_Toc138080370"/>
      <w:r/>
      <w:bookmarkStart w:id="11" w:name="_Toc50125126"/>
      <w:r/>
      <w:bookmarkStart w:id="12" w:name="_Toc46743510"/>
      <w:r>
        <w:t xml:space="preserve">Требования к </w:t>
      </w:r>
      <w:bookmarkEnd w:id="9"/>
      <w:r>
        <w:t xml:space="preserve">услугам</w:t>
      </w:r>
      <w:bookmarkEnd w:id="10"/>
      <w:r>
        <w:rPr>
          <w:caps/>
        </w:rPr>
      </w:r>
      <w:r>
        <w:rPr>
          <w:caps/>
        </w:rPr>
      </w:r>
    </w:p>
    <w:p>
      <w:pPr>
        <w:pStyle w:val="792"/>
        <w:ind w:left="0" w:firstLine="0"/>
      </w:pPr>
      <w:r/>
      <w:bookmarkStart w:id="13" w:name="_Toc138080371"/>
      <w:r>
        <w:t xml:space="preserve">Требования к объемам и срокам оказания услуг</w:t>
      </w:r>
      <w:bookmarkEnd w:id="13"/>
      <w:r/>
      <w:r/>
    </w:p>
    <w:p>
      <w:pPr>
        <w:pStyle w:val="791"/>
        <w:ind w:left="0" w:firstLine="0"/>
      </w:pPr>
      <w:r/>
      <w:bookmarkStart w:id="14" w:name="_Toc138080372"/>
      <w:r>
        <w:t xml:space="preserve">Требования к перечню и объему услуг</w:t>
      </w:r>
      <w:bookmarkEnd w:id="14"/>
      <w:r/>
      <w:r/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</w:pPr>
      <w:r>
        <w:rPr>
          <w:rFonts w:eastAsia="Calibri"/>
          <w:i/>
          <w:sz w:val="24"/>
          <w:szCs w:val="24"/>
        </w:rPr>
        <w:t xml:space="preserve">Оказание услуги (проведение периодического медицинского осмотра) должно осуществляться</w:t>
      </w:r>
      <w:r>
        <w:rPr>
          <w:rFonts w:eastAsia="Calibri"/>
          <w:i/>
          <w:sz w:val="24"/>
          <w:szCs w:val="24"/>
        </w:rPr>
        <w:t xml:space="preserve"> в точном соответствии с требованиями и приказа Минздрава России от 28.01.2021 №29н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</w:t>
      </w:r>
      <w:r>
        <w:rPr>
          <w:rFonts w:eastAsia="Calibri"/>
          <w:i/>
          <w:sz w:val="24"/>
          <w:szCs w:val="24"/>
        </w:rPr>
        <w:t xml:space="preserve">са Российской Федерации, перечня медицинских противопоказаний к осуществлению работ с вредными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осмотры».</w:t>
      </w:r>
      <w:r/>
    </w:p>
    <w:p>
      <w:pPr>
        <w:ind w:firstLine="567"/>
        <w:jc w:val="both"/>
        <w:rPr>
          <w:rFonts w:eastAsia="Calibri"/>
          <w:b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Проведение периодического медицинского осмотра работников в 2026 году для 538 человека, в том числе - 77 женщин, из них женщин в возрасте старше</w:t>
      </w:r>
      <w:r>
        <w:rPr>
          <w:rFonts w:eastAsia="Calibri"/>
          <w:i/>
          <w:sz w:val="24"/>
          <w:szCs w:val="24"/>
        </w:rPr>
        <w:t xml:space="preserve"> 40 лет - 54 чел., 461 мужчин, из них мужчин в возрасте старше 40 лет – 295 чел. Общий перечень наименований вредных и (или) опасных производственных факторов и видов работ, на основании которых необходимо провести периодический медицинский осмотр, указан </w:t>
      </w:r>
      <w:r>
        <w:rPr>
          <w:rFonts w:eastAsia="Calibri"/>
          <w:b/>
          <w:i/>
          <w:sz w:val="24"/>
          <w:szCs w:val="24"/>
        </w:rPr>
        <w:t xml:space="preserve">в Таблице 1 «Перечень и объем оказываемых услуг».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ind w:firstLine="567"/>
        <w:jc w:val="both"/>
        <w:rPr>
          <w:rFonts w:eastAsia="Calibri"/>
          <w:b/>
          <w:i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8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5" w:name="_Toc51339695"/>
      <w:r/>
      <w:bookmarkStart w:id="16" w:name="_Toc138080373"/>
      <w:r>
        <w:rPr>
          <w:sz w:val="24"/>
          <w:szCs w:val="24"/>
        </w:rPr>
        <w:t xml:space="preserve">Таблица 1. Перечень </w:t>
      </w:r>
      <w:bookmarkEnd w:id="15"/>
      <w:r>
        <w:rPr>
          <w:sz w:val="24"/>
          <w:szCs w:val="24"/>
        </w:rPr>
        <w:t xml:space="preserve">и объем оказываемых услуг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57"/>
        <w:tblW w:w="0" w:type="auto"/>
        <w:tblLayout w:type="fixed"/>
        <w:tblLook w:val="04A0" w:firstRow="1" w:lastRow="0" w:firstColumn="1" w:lastColumn="0" w:noHBand="0" w:noVBand="1"/>
      </w:tblPr>
      <w:tblGrid>
        <w:gridCol w:w="645"/>
        <w:gridCol w:w="1305"/>
        <w:gridCol w:w="885"/>
        <w:gridCol w:w="1134"/>
        <w:gridCol w:w="3260"/>
        <w:gridCol w:w="3260"/>
        <w:gridCol w:w="2976"/>
        <w:gridCol w:w="1276"/>
      </w:tblGrid>
      <w:tr>
        <w:tblPrEx/>
        <w:trPr>
          <w:trHeight w:val="4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Дата рождения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Возраст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Пол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Профессия/Должность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Подразделение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Вредный производственный фактор или вид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Количество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18.04.1983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12.02.1984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приборов уровня, расхода и давления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28.05.1978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13.08.2002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22.02.1957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07.06.1998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наладке и испытаниям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05.08.1962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26.07.1968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07.12.1987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25.07.1982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15.;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19.10.1975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09.10.1986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турбинного отделения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22.08.1988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03.03.1971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08.10.1985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22.11.1970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тепловых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цех/Участок по обслуживанию водопроводных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22.07.1978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4.4.; п. 5.1.; п. 6.1.; п. 6.2.;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16.11.1988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16.01.1975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котельных и пылеприготовительных цехов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09.03.1985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29.12.1987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Электрогазосварщик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1.17.; п. 3.1.7.; п. 4.2.1.;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12.08.1968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27.03.1974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багерной (шламовой) насосной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09.01.1990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15.01.1994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05.12.1983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автомобилей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03.02.1970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18.09.1973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14.10.1996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наладке и испытаниям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28.05.1999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07.09.1991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31.03.1982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01.12.1975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09.04.1983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01.04.1965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службы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управления/Служба промышленной безопасности и охраны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17.10.1992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12.06.1973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18.02.1956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Обходчик трассы гидрозолоудаления и золоотвалов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24.11.1975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15.; 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26.10.1995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подземных коммуникаций и сантехнических систем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18.1.;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08.09.1983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информационных технологий и связи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27.07.1983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02.03.1992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Главный специалист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02.03.1992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Инженер-программист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09.12.1970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06.08.1976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26.02.1988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Инженер-программист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05.07.1978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погрузчика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23.02.1986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организации эксплуатации и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07.01.1983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26.08.1983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28.03.1981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пирометрии и газового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28.01.1986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24.04.1979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12.09.2004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21.11.2000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05.07.1971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08.10.1989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27.07.1984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1.1.; п. 1.8.1.1.; п. 1.15.; п. 1.29.1.;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15.12.1978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06.08.1977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Электрогазосварщик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1.17.;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12.04.1959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крана (крановщик)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4.4.; п. 4.8.; п. 5.1.; п. 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03.12.1988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Изолировщик на термоизоляции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3.1.8.; п. 4.4.; п. 4.3.1.; п. 4.8.; п. 5.1.; п. 12.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12.04.2002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15.02.1982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10.01.1985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релейной защите и автоматике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25.10.2000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11.04.1983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эксплуатации теплотехнического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26.10.1977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15.11.1971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19.09.1973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13.09.1974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Приемосдатчик груза и багажа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02.04.1995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15.05.1997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01.08.1989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котельного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16.02.1994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Инженер-программист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20.09.2005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главного щита управления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25.08.1962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Токарь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централизованного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3.1.2.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26.12.1984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эксплуатации и ремонту машин и механизмов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13.03.1992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30.05.1966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15.12.1992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24.05.1975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электрических машин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высоковольтных электрических машин котельного, турбинного цехов и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5.1.; п. 6.1.;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31.07.1970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14.04.1978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07.03.1991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18.02.1988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20.06.1965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04.11.1985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29.05.1965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21.12.1999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21.11.1979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4.4.; п. 5.1.; п. 6.1.; п. 6.2.;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21.12.1986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27.09.1991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07.08.1997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18.11.1968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приборов уровня, расхода и давления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14.08.1983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21.08.1994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14.05.1989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24.08.2006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24.11.2002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26.07.1971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22.12.1977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крана (крановщик)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4.4.; п. 4.8.; п. 5.1.; п. 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01.03.2004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линейных сооружений телефонной связи и радиофикации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информационных технологий и связи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25.07.1993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27.12.1969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08.10.2004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дистанционного управления и электропривода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29.11.2004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25.01.2001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Пробоотборщик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13.12.1967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02.04.1969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и ремонту оборудования химводоочистки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3.1.7.; 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01.04.1988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07.12.1971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крана (крановщик)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4.4.; п. 4.8.; п. 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17.09.1964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15.;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18.02.1985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15.12.1984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21.05.1974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наладке и испытаниям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13.01.1971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главного щита управления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19.10.1993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07.11.1981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31.10.1982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турбинного отделения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06.08.1986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15.12.1961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24.11.1985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15.06.1972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29.07.1977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12.06.1970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07.09.1977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ТЭЦ"/Лаборатория металлов и сварки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15.03.1959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13.06.1969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17.05.1988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06.04.1975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05.08.1968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турбинного отделения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27.09.1974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16.04.1994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управления/Служба промышленной безопасности и охраны труда/Группа производственного контроля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21.06.1974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22.01.1978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08.03.1983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18.03.1996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оборудования распределительных устройств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открытого, закрытого распределительных устройств и трансформаторов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16.02.1974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15.;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26.06.1983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01.03.1996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19.01.1976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19.08.1981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06.01.1968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22.01.1986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16.07.2004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09.03.1964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27.09.1980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Монтер пути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31.03.1967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21.04.1972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17.05.1965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главного щита управления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11.11.1986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24.11.1988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дистанционного управления и электропривода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23.12.1969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07.06.1984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07.11.1974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09.12.1980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20.05.1974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лаборатории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20.05.1986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Грузчик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ТЭЦ"/Служба обеспечения производства/Группа складского обслуживания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28.02.1968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18.10.1969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4.4.; п. 5.1.; п. 6.1.; п. 6.2.;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01.06.1971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09.07.1983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12.10.1979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пирометрии и газового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21.10.1961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30.12.1980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высоковольтных электрических машин котельного, турбинного цехов и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31.10.1986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Техник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16.12.2004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23.05.1998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28.04.1974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23.09.1979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30.12.2004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и обслуживанию электрооборудования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электрического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5.1.; п. 6.1.;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01.08.2000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технологической защиты и сигнализации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03.09.2000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23.11.1993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турбинного отделения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24.11.1992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пирометрии и газового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16.09.1989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14.01.1983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10.09.1992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11.11.1962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16.05.1991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26.01.1971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технологической защиты и сигнализации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17.03.1989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Наладчик контрольно-измерительных приборов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01.09.1960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25.04.1970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18.01.1978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18.02.1990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20.06.1961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27.12.1997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19.07.1976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14.09.1991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12.02.2003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31.01.1971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14.10.1976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Электрогазосварщик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1.17.; п. 3.1.7.; п. 4.2.1.;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12.04.1984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цех/Участок по ремонту основного оборудования котельного цеха (рем.поверх.нагр.ар-ры и рем.пыл.сис.)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24.04.1997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                                                                                  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04.01.1971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25.06.1978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котельного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03.11.1968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10.09.1989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08.12.1991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25.09.2003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дистанционного управления и электропривода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02.07.1986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02.08.1992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01.09.1967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27.11.2003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обслуживанию и ремонту оборудования пожарного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25.12.1981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Грузчик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ТЭЦ"/Служба обеспечения производства/Группа складского обслуживания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12.01.1985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котельного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12.12.1983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23.07.1977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19.02.1958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12.11.1982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13.05.1974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Рабочий по комплексному обслуживанию и ремонту зданий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ТЭЦ"/Группа хозяйственного обеспечения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07.09.1968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28.02.1979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цех/Участок по ремонту основного оборудования котельного цеха (рем.поверх.нагр.ар-ры и рем.пыл.сис.)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09.05.1959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27.02.1993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30.08.1960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Фрезеровщик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централизованного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29.07.1988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28.07.1975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04.01.1957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Приемосдатчик груза и багажа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06.12.1985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1.8.1.1.;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22.07.1973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14.05.1974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Техник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28.09.1991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Электрогазосварщик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цех/Участок по ремонту основного оборудования котельного цеха (рем.поверх.нагр.ар-ры и рем.пыл.сис.)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1.17.; п. 1.29.1.; п. 3.1.9.; п. 3.1.7.;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24.03.1976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26.03.2002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Электрогазосварщик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1.17.;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16.09.1977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21.05.2000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16.06.1974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24.09.1990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1.8.1.1.;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06.05.1981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26.10.2005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06.01.1975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по стирке и ремонту спецодежды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ТЭЦ"/Группа хозяйственного обеспечения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26.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03.10.1983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дорожно-строительных машин и тракторов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3.1.7.;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21.09.1986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Техник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21.12.1972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16.02.1980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01.07.1983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управления/Служба промышленной безопасности и охраны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08.02.1971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охранно-пожарной сигнализации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обслуживанию и ремонту оборудования пожарного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03.09.1963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06.10.1993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07.07.1982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29.01.1999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специалист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управления/Производственно-технический отдел/Группа режимов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05.11.1960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тепловых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цех/Участок по обслуживанию водопроводных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22.04.1970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13.04.1982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24.06.1988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20.11.2000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Инженер-программист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27.03.1978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29.12.1983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котельного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11.06.1966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15.04.1964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эксплуатации теплотехнического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18.08.1999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27.09.1968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4.3.1.; п. 4.8.; п. 5.1.; п. 12.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25.04.1995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23.06.1961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25.01.1975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27.11.1993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аварийно-восстановительных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подземных коммуникаций и сантехнических систем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27.09.2004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16.02.1987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автомобилей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07.08.1991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18.08.1970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10.09.1999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линейных сооружений телефонной связи и радиофикации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информационных технологий и связи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16.07.1992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26.10.1982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4.3.1.; п. 4.8.; п. 5.1.; п. 12.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18.09.1972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16.04.1964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крана автомобильного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8.;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06.01.1986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01.04.1997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24.10.1986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19.11.1973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08.03.1973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дистанционного управления и электропривода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31.03.1999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и обслуживанию электрооборудования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электрического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5.1.; п. 6.1.;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19.09.2004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и обслуживанию электрооборудования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электрического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5.1.; п. 6.1.;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08.12.1984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30.10.1977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Электрогазосварщик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и ремонту оборудования химводоочистки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3.1.7.; п. 4.2.1.;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24.07.1968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19.02.1997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09.07.1959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дорожно-строительных машин и тракторов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18.01.2004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и обслуживанию электрооборудования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05.09.1992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01.01.1962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17.06.1961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электрических машин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высоковольтных электрических машин котельного, турбинного цехов и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5.1.; п. 6.1.;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27.06.1964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30.04.1987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24.06.1984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03.03.1962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крана (крановщик)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4.4.; п. 4.8.; п. 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15.05.1982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08.02.1976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23.06.1968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19.04.1956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Фрезеровщик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централизованного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06.04.1982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25.11.1967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Техник-лаборант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1.1.; п. 1.8.1.1.; п. 1.15.; 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10.12.1956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наладке и испытаниям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31.08.1982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18.06.1994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и ремонту оборудования химводоочистки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3.1.7.; 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17.06.1972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и ремонту оборудования химводоочистки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3.1.7.; 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20.03.1980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Приемосдатчик груза и багажа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09.12.1973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02.10.2002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18.05.1981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03.03.1970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26.07.1969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24.10.1991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12.10.1964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централизованного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18.01.1989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22.08.1998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27.03.1969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16.08.1976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22.08.1972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аварийно-восстановительных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подземных коммуникаций и сантехнических систем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30.08.1978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Главный специалист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управления/Служба промышленной безопасности и охраны труда/Группа производственного контроля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08.05.2004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расчетам и режимам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управления/Производственно-технический отдел/Группа режимов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04.07.1982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Дефектоскопист по магнитному и ультразвуковому контролю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ТЭЦ"/Лаборатория металлов и сварки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28.01.1964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14.05.1978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и ремонту оборудования химводоочистки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3.1.7.; 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30.07.1972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16.07.2003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18.11.1975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29.08.1964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4.4.; п. 5.1.; п. 6.1.; п. 6.2.;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05.06.1976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Приемосдатчик груза и багажа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07.06.1975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03.06.2003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10.06.1980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01.11.1970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25.10.1980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31.12.1982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информационных технологий и связи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17.01.1991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28.05.1987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09.06.1984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18.11.1966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15.;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11.09.1962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Слесарь-электрик по ремонту электрооборудования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05.07.1983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14.07.2005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обслуживанию и ремонту оборудования пожарного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16.02.2004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01.09.1989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26.02.1983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09.02.1997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24.05.1971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15.03.1971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01.12.1992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23.06.1984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17.10.1985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07.08.1987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котельного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02.07.1967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тепловых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цех/Участок по обслуживанию водопроводных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07.08.1969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и обслуживанию электрооборудования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28.11.1991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11.07.1994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01.02.1978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цех/Участок по обслуживанию водопроводных сетей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29.06.1971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27.04.2004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оборудования распределительных устройств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открытого, закрытого распределительных устройств и трансформаторов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03.06.1957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участка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20.07.1987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01.10.1986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07.03.1984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24.11.1975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10.03.1986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21.02.2002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28.12.1962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18.1.;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03.08.1970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станционного радиооборудования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информационных технологий и связи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21.10.1964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06.11.1984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05.10.1968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06.01.1992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машинист турбинного отделения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13.04.1970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13.02.1979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специалист по охране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управления/Служба промышленной безопасности и охраны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04.01.1986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открытого, закрытого распределительных устройств и трансформаторов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17.09.1980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28.06.1968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28.04.2004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09.10.1966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по стирке и ремонту спецодежды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ТЭЦ"/Группа хозяйственного обеспечения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26.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21.02.1968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релейной защите и автоматике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28.03.1996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05.04.1985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02.08.1977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22.06.1972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Слесарь-ремонтник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цех/Участок по ремонту и обслуживанию подъемных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09.08.1990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технологической защиты и сигнализации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24.09.1973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25.09.1986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13.12.1973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25.09.1961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22.07.1977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25.06.1978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27.08.1959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29.03.1988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07.03.1995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29.07.1998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07.10.1978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03.10.1986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11.05.1976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25.02.2003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электрических машин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высоковольтных электрических машин котельного, турбинного цехов и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5.1.; п. 6.1.;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24.04.1968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главного щита управления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08.02.1991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10.09.1975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21.05.1989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крана (крановщик)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ТЭЦ"/Служба обеспечения производства/Группа складского обслуживания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31.01.1989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25.05.1986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аварийно-восстановительных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подземных коммуникаций и сантехнических систем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15.; п. 24.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21.05.1985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15.10.1969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13.07.1983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09.05.1993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обслуживанию и ремонту оборудования пожарного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15.07.1962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08.09.1987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12.09.1958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13.03.1976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приборов уровня, расхода и давления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15.12.1988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19.02.1961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09.09.2000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и обслуживанию электрооборудования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23.09.1993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21.02.1965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20.05.1968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Приемосдатчик груза и багажа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22.06.1980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4.3.1.; п. 4.8.; п. 5.1.; п. 12.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18.02.1988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09.04.1982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22.04.1977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главного щита управления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09.08.1976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4.3.1.; п. 4.8.; п. 5.1.; п. 12.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09.05.1980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18.09.2002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приборов уровня, расхода и давления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16.12.1984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29.11.1987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23.10.1964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оборудования котельных и пылеприготовительных цехов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цех/Участок по ремонту основного оборудования котельного цеха (рем.поверх.нагр.ар-ры и рем.пыл.сис.)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05.08.1979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Монтер пути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09.03.1971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30.12.1974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17.01.1980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09.03.1960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цех/Участок по ремонту и обслуживанию подъемных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19.10.1970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автомобиля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4.3.2.; п. 15.;  п. 18.2.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19.06.1980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</w:t>
              <w:br/>
              <w:t xml:space="preserve">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21.11.1980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Техник-лаборант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1.1.; п. 1.8.1.1.; п. 1.15.; 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14.12.1991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02.12.2000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09.10.1983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22.07.1983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18.10.2003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Слесарь-ремонтник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цех/Участок по ремонту и обслуживанию подъемных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29.01.1973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04.05.1987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03.08.1979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21.09.1993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02.06.1981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27.01.1962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Обходчик трассы гидрозолоудаления и золоотвалов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17.12.1985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31.03.1956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20.05.1985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Главный специалист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ТЭЦ"/Лаборатория металлов и сварки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03.09.1972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технологической защиты и сигнализации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04.10.1994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Дефектоскопист по магнитному и ультразвуковому контролю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ТЭЦ"/Лаборатория металлов и сварки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25.06.1989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Заведующий здравпунктом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ТЭЦ"/Здравпункт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27.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13.10.1988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07.08.2005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12.01.1972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автомобилей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ТЭЦ"/Автотранспортный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16.08.1985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багерной (шламовой) насосной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10.09.1977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метрологии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22.06.1982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08.08.1987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линейных сооружений телефонной связи и радиофикации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информационных технологий и связи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17.09.1983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Слесарь-сантехник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обслуживанию и ремонту оборудования пожарного водоснабжения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11.03.1977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03.03.1978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14.07.1977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09.06.1987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эксплуатации и ремонту гидротехнических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управления/Служба промышленной безопасности и охраны труда/Группа производственного контроля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22.05.1955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компрессорных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28.06.1988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Монтер пути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19.12.1982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20.10.1972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17.10.2004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24.11.1975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26.06.1992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02.04.2002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оборудования распределительных устройств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открытого, закрытого распределительных устройств и трансформаторов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19.07.1991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17.04.1973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ТЭЦ"/Начальник смены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23.08.2001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Инженер-программист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ТЭЦ"/Монтажно-наладочный участок автоматики/Группа АСУ 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23.06.1968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20.02.1981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турбинному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26.02.1969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Моторист по уборке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07.12.1983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по приготовлению химреагентов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03.07.1960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эксплуатации и ремонту машин и механизмов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10.06.1977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26.11.1993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09.02.1983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09.03.1978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05.09.1998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31.01.1994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02.01.1995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обслуживанию электрооборудования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24.08.1987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Слесарь-инструментальщик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по обслуживанию и ремонту оборудования химводоочистки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25.08.1994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01.01.1979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технологической защиты и сигнализации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24.03.2004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пирометрии и газового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06.02.1971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25.08.1981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08.10.1993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ремонту и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приборов уровня, расхода и давления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4.3.1.; 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05.10.1974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Токарь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централизованного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3.1.2.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21.10.1990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цех/Участок по ремонту электрического оборудования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11.04.1964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Грузчик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ТЭЦ"/Служба обеспечения производства/Группа складского обслуживания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26.08.1985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11.01.1989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23.03.1980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01.01.1974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Ведущий инженер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управления/Служба промышленной безопасности и охраны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26.02.1976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релейной защите и автоматике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14.05.1958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Обходчик трассы гидрозолоудаления и золоотвалов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06.04.1978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обслуживанию оборудования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01.01.1966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дорожно-строительных машин и тракторов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1.50.;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21.08.1976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Токарь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цех/Участок централизованного ремонта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3.1.2.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15.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18.08.2003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30.06.1974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Машинист-обходчик по котельному оборудованию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15.03.1979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измерений/Лаборатория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25.05.1971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10.08.1981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Инженер по организации эксплуатации и ремонту зданий и сооружений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ТЭЦ"/Аппарат управления/Отдел подготовки и проведения ремонтов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16.10.1962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24.08.1989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Старший мастер по ремонту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11.09.1952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Обходчик трассы гидрозолоудаления и золоотвалов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03.12.1990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насосных установок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15.05.1981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13.01.1977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котлами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4.8.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05.09.1984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14.06.1965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15.08.1963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Обходчик трассы гидрозолоудаления и золоотвалов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03.12.1982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30.08.1979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09.05.1984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02.10.1979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вагоноопрокидывателя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29.11.1997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экскаватора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29.07.1992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Водитель погрузчика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27.12.2000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Аппаратчик химводоочистки электростанции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05.02.1976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Начальник смены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12.06.1980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16.04.2001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линейных сооружений телефонной связи и радиофикации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информационных технологий и связи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10.11.1999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Котлочист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ТЭЦ"/Котельный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1.29.1.; п. 3.1.9.; п. 4.3.1.; п. 4.4.; п. 4.8.;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16.05.1984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27.10.1982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Техник-лаборант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1.1.; п. 1.8.1.1.; п. 1.15.; п. 1.19.1.; п. 1.29.1.;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17.09.2003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топливоподачи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3.1.9.; п. 4.4.; п. 5.1.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10.10.1983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4.3.1.; п. 4.8.; п. 5.1.; п. 12.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10.03.1971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Лаборант химического анализа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ТЭЦ"/Химический цех/Химлаборатория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1.19.1.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13.05.1989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центрального теплового щита управления паровыми турбинами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12.06.1982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17.11.1982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Электрослесарь по обслуживанию автоматики и средств измерений электростанций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тепловой автоматики и измерений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23.02.1984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Слесарь по ремонту парогазотурбинного 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ТЭЦ"/Турбинный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4.3.1.; п. 4.8.; п. 5.1.; п. 12.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4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13.12.1973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Заместитель начальника цеха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17.02.1977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Мужской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Машинист бульдозера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ТЭЦ"/Цех тяжелой техники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3.1.4.; п. 4.3.2.; п. 4.4.; п. 5.1.; п. 18.1.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07.09.1996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Женский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Электромонтер по ремонту аппаратуры релейной защиты и автоматики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СП "Благовещенская ТЭЦ"/Электрический цех/Электротехническая лаборатория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п. 4.4.; п. 4.8.; п. 5.1.; п. 9.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3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Итого по СП "Благовещенская ТЭЦ"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6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538</w:t>
            </w:r>
            <w:r/>
          </w:p>
        </w:tc>
      </w:tr>
    </w:tbl>
    <w:p>
      <w:r/>
      <w:r/>
    </w:p>
    <w:p>
      <w:r/>
      <w:r/>
    </w:p>
    <w:p>
      <w:pPr>
        <w:pStyle w:val="791"/>
        <w:ind w:left="0" w:firstLine="0"/>
      </w:pPr>
      <w:r/>
      <w:bookmarkStart w:id="17" w:name="_Toc51339696"/>
      <w:r/>
      <w:bookmarkStart w:id="18" w:name="_Toc138080374"/>
      <w:r>
        <w:t xml:space="preserve">Требования </w:t>
      </w:r>
      <w:bookmarkEnd w:id="17"/>
      <w:r>
        <w:t xml:space="preserve">к срокам оказания услуг</w:t>
      </w:r>
      <w:bookmarkEnd w:id="18"/>
      <w:r/>
      <w:r/>
    </w:p>
    <w:p>
      <w:pPr>
        <w:pStyle w:val="789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9" w:name="_Toc50125127"/>
      <w:r/>
      <w:bookmarkStart w:id="20" w:name="_Toc51339697"/>
      <w:r/>
      <w:bookmarkStart w:id="21" w:name="_Toc138080375"/>
      <w:r/>
      <w:bookmarkEnd w:id="11"/>
      <w:r>
        <w:rPr>
          <w:sz w:val="24"/>
          <w:szCs w:val="24"/>
        </w:rPr>
        <w:t xml:space="preserve">Таблица 2. </w:t>
      </w:r>
      <w:bookmarkStart w:id="22" w:name="_Hlk50465284"/>
      <w:r>
        <w:rPr>
          <w:sz w:val="24"/>
          <w:szCs w:val="24"/>
        </w:rPr>
        <w:t xml:space="preserve">Требования к срокам </w:t>
      </w:r>
      <w:bookmarkEnd w:id="19"/>
      <w:r/>
      <w:bookmarkEnd w:id="20"/>
      <w:r/>
      <w:bookmarkEnd w:id="22"/>
      <w:r>
        <w:rPr>
          <w:sz w:val="24"/>
          <w:szCs w:val="24"/>
        </w:rPr>
        <w:t xml:space="preserve">оказания услуг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4360"/>
        <w:gridCol w:w="2835"/>
        <w:gridCol w:w="2693"/>
        <w:gridCol w:w="4394"/>
      </w:tblGrid>
      <w:tr>
        <w:tblPrEx/>
        <w:trPr/>
        <w:tc>
          <w:tcPr>
            <w:shd w:val="clear" w:color="auto" w:fill="auto"/>
            <w:tcW w:w="4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 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36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29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29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bookmarkEnd w:id="12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pStyle w:val="10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55" w:type="dxa"/>
            <w:textDirection w:val="lrTb"/>
            <w:noWrap w:val="false"/>
          </w:tcPr>
          <w:p>
            <w:pPr>
              <w:pStyle w:val="1000"/>
              <w:numPr>
                <w:ilvl w:val="0"/>
                <w:numId w:val="31"/>
              </w:numPr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4360" w:type="dxa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 xml:space="preserve">Оказание услуг по проведению периодического 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медицинск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ого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осмотр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а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работников структурного подразделения «Благовещенская ТЭЦ»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, г. Благовещенск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 даты заключения договора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До 31.12.202</w:t>
            </w:r>
            <w:r>
              <w:rPr>
                <w:i/>
                <w:iCs/>
                <w:sz w:val="24"/>
                <w:szCs w:val="24"/>
              </w:rPr>
              <w:t xml:space="preserve">6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календарным планом, утверждённым медицинской организацией и согласованной с работодателем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  <w:outlineLvl w:val="0"/>
      </w:pPr>
      <w:r/>
      <w:bookmarkStart w:id="23" w:name="_Toc50125131"/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792"/>
        <w:ind w:firstLine="418"/>
      </w:pPr>
      <w:r/>
      <w:bookmarkStart w:id="24" w:name="_Toc46743511"/>
      <w:r/>
      <w:bookmarkStart w:id="25" w:name="_Toc138080376"/>
      <w:r/>
      <w:bookmarkStart w:id="26" w:name="_Toc51339698"/>
      <w:r>
        <w:t xml:space="preserve">Требования к </w:t>
      </w:r>
      <w:bookmarkEnd w:id="24"/>
      <w:r>
        <w:t xml:space="preserve">качеству услуг</w:t>
      </w:r>
      <w:bookmarkEnd w:id="25"/>
      <w:r/>
      <w:r/>
    </w:p>
    <w:p>
      <w:pPr>
        <w:pStyle w:val="789"/>
        <w:numPr>
          <w:ilvl w:val="0"/>
          <w:numId w:val="0"/>
        </w:numPr>
        <w:keepLines/>
        <w:spacing w:before="240"/>
        <w:rPr>
          <w:rStyle w:val="1031"/>
          <w:b/>
          <w:i w:val="0"/>
          <w:sz w:val="24"/>
          <w:szCs w:val="24"/>
          <w:shd w:val="clear" w:color="auto" w:fill="auto"/>
        </w:rPr>
      </w:pPr>
      <w:r/>
      <w:bookmarkStart w:id="27" w:name="_Toc138080377"/>
      <w:r>
        <w:rPr>
          <w:sz w:val="24"/>
          <w:szCs w:val="24"/>
        </w:rPr>
        <w:t xml:space="preserve">Таблица 3. Требования к </w:t>
      </w:r>
      <w:bookmarkEnd w:id="23"/>
      <w:r/>
      <w:bookmarkEnd w:id="26"/>
      <w:r>
        <w:rPr>
          <w:sz w:val="24"/>
          <w:szCs w:val="24"/>
        </w:rPr>
        <w:t xml:space="preserve">качеству услуг</w:t>
      </w:r>
      <w:bookmarkEnd w:id="27"/>
      <w:r>
        <w:rPr>
          <w:sz w:val="24"/>
          <w:szCs w:val="24"/>
        </w:rPr>
        <w:t xml:space="preserve"> </w:t>
      </w:r>
      <w:r>
        <w:rPr>
          <w:rStyle w:val="1031"/>
          <w:b/>
          <w:i w:val="0"/>
          <w:sz w:val="24"/>
          <w:szCs w:val="24"/>
          <w:shd w:val="clear" w:color="auto" w:fill="auto"/>
        </w:rPr>
      </w:r>
      <w:r>
        <w:rPr>
          <w:rStyle w:val="1031"/>
          <w:b/>
          <w:i w:val="0"/>
          <w:sz w:val="24"/>
          <w:szCs w:val="24"/>
          <w:shd w:val="clear" w:color="auto" w:fill="auto"/>
        </w:rPr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№1 Таблицы 1): </w:t>
      </w: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  <w:t xml:space="preserve">ОКПД2 86.1</w:t>
      </w:r>
      <w:r>
        <w:rPr>
          <w:sz w:val="24"/>
          <w:szCs w:val="24"/>
          <w:highlight w:val="white"/>
        </w:rPr>
        <w:t xml:space="preserve"> О</w:t>
      </w:r>
      <w:r>
        <w:rPr>
          <w:sz w:val="24"/>
          <w:szCs w:val="24"/>
        </w:rPr>
        <w:t xml:space="preserve">казание услуг по проведению п</w:t>
      </w:r>
      <w:r>
        <w:rPr>
          <w:sz w:val="24"/>
          <w:szCs w:val="24"/>
        </w:rPr>
        <w:t xml:space="preserve">ериодическ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медицинск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осмотр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работников структурного подразделения «Благовещенская ТЭЦ»</w:t>
      </w:r>
      <w:r>
        <w:rPr>
          <w:sz w:val="24"/>
          <w:szCs w:val="24"/>
        </w:rPr>
        <w:t xml:space="preserve">, г. Благовещенск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57"/>
        <w:tblW w:w="14885" w:type="dxa"/>
        <w:tblInd w:w="-5" w:type="dxa"/>
        <w:tblLook w:val="04A0" w:firstRow="1" w:lastRow="0" w:firstColumn="1" w:lastColumn="0" w:noHBand="0" w:noVBand="1"/>
      </w:tblPr>
      <w:tblGrid>
        <w:gridCol w:w="769"/>
        <w:gridCol w:w="2418"/>
        <w:gridCol w:w="5057"/>
        <w:gridCol w:w="2222"/>
        <w:gridCol w:w="2266"/>
        <w:gridCol w:w="2153"/>
      </w:tblGrid>
      <w:tr>
        <w:tblPrEx/>
        <w:trPr/>
        <w:tc>
          <w:tcPr>
            <w:tcW w:w="7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1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5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17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5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/>
            <w:bookmarkStart w:id="28" w:name="_Toc53499667"/>
            <w:r>
              <w:rPr>
                <w:b/>
                <w:bCs/>
                <w:sz w:val="24"/>
                <w:szCs w:val="24"/>
              </w:rPr>
              <w:t xml:space="preserve">1</w:t>
            </w:r>
            <w:bookmarkEnd w:id="28"/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1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6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50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2253" w:type="dxa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Соблюдение при выполнении работ норм и правил нормативно-технических документов</w:t>
            </w:r>
            <w:r/>
          </w:p>
        </w:tc>
        <w:tc>
          <w:tcPr>
            <w:shd w:val="clear" w:color="auto" w:fill="auto"/>
            <w:tcW w:w="5174" w:type="dxa"/>
            <w:vAlign w:val="center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  <w:r/>
          </w:p>
          <w:p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- Порядком проведения обязательных предварительных и периодических медицинских осмотров работников, предусмотренных частью пятой статьи 220 Трудового кодекса Российской Федерации, перечня медицинских противоп</w:t>
            </w:r>
            <w:r>
              <w:rPr>
                <w:i/>
                <w:iCs/>
                <w:sz w:val="24"/>
                <w:szCs w:val="24"/>
              </w:rPr>
              <w:t xml:space="preserve">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 (утв. приказом Минздрава России от 28.01.2021 №29н).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39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sz w:val="22"/>
                <w:szCs w:val="22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/>
            <w:r>
              <w:rPr>
                <w:i/>
                <w:iCs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W w:w="2269" w:type="dxa"/>
            <w:textDirection w:val="lrTb"/>
            <w:noWrap w:val="false"/>
          </w:tcPr>
          <w:p>
            <w:pPr>
              <w:pStyle w:val="1025"/>
              <w:jc w:val="left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  <w:tc>
          <w:tcPr>
            <w:shd w:val="clear" w:color="auto" w:fill="auto"/>
            <w:tcW w:w="215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shd w:val="clear" w:color="auto" w:fill="auto"/>
            <w:tcW w:w="7427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способам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auto" w:fill="auto"/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2253" w:type="dxa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Требование к способам оказания услуг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5174" w:type="dxa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Необходимость участия в периодических осмотрах соответствующих врачей-сп</w:t>
            </w:r>
            <w:r>
              <w:rPr>
                <w:i/>
                <w:iCs/>
                <w:sz w:val="24"/>
                <w:szCs w:val="24"/>
              </w:rPr>
              <w:t xml:space="preserve">ециалистов, а также виды и объемы необходимых лабораторных и функциональных исследований определяет врачебная комиссия медицинской организации на основании указанных в поименном списке вредных и (или) опасных производственных факторов, а также видов работ.</w:t>
            </w:r>
            <w:r/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u w:val="single"/>
              </w:rPr>
            </w:pPr>
            <w:r>
              <w:rPr>
                <w:i/>
                <w:iCs/>
                <w:sz w:val="24"/>
                <w:szCs w:val="24"/>
                <w:u w:val="single"/>
              </w:rPr>
              <w:t xml:space="preserve">Исполнитель в обязательном порядке должен провести осмотр работников заказчика врачом-психиатром и врачом-наркологом.</w:t>
            </w:r>
            <w:r>
              <w:rPr>
                <w:bCs/>
                <w:i/>
                <w:sz w:val="24"/>
                <w:szCs w:val="24"/>
                <w:u w:val="single"/>
              </w:rPr>
            </w:r>
            <w:r>
              <w:rPr>
                <w:bCs/>
                <w:i/>
                <w:sz w:val="24"/>
                <w:szCs w:val="24"/>
                <w:u w:val="singl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  <w:u w:val="single"/>
              </w:rPr>
            </w:pPr>
            <w:r>
              <w:rPr>
                <w:i/>
                <w:iCs/>
                <w:sz w:val="24"/>
                <w:szCs w:val="24"/>
                <w:u w:val="single"/>
              </w:rPr>
              <w:t xml:space="preserve">Исполнитель оказывает услуги с использованием своих материалов, своими силами и средствами на территории Заказчика.</w:t>
            </w:r>
            <w:r>
              <w:rPr>
                <w:i/>
                <w:iCs/>
                <w:sz w:val="24"/>
                <w:szCs w:val="24"/>
                <w:u w:val="single"/>
              </w:rPr>
            </w:r>
            <w:r>
              <w:rPr>
                <w:i/>
                <w:iCs/>
                <w:sz w:val="24"/>
                <w:szCs w:val="24"/>
                <w:u w:val="singl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  <w:u w:val="single"/>
              </w:rPr>
            </w:pPr>
            <w:r>
              <w:rPr>
                <w:i/>
                <w:iCs/>
                <w:sz w:val="24"/>
                <w:szCs w:val="24"/>
                <w:u w:val="single"/>
              </w:rPr>
            </w:r>
            <w:r>
              <w:rPr>
                <w:i/>
                <w:iCs/>
                <w:sz w:val="24"/>
                <w:szCs w:val="24"/>
                <w:u w:val="single"/>
              </w:rPr>
            </w:r>
            <w:r>
              <w:rPr>
                <w:i/>
                <w:iCs/>
                <w:sz w:val="24"/>
                <w:szCs w:val="24"/>
                <w:u w:val="singl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highlight w:val="none"/>
                <w:u w:val="single"/>
              </w:rPr>
            </w:pPr>
            <w:r>
              <w:rPr>
                <w:i/>
                <w:iCs/>
                <w:sz w:val="24"/>
                <w:szCs w:val="24"/>
                <w:highlight w:val="none"/>
                <w:u w:val="single"/>
              </w:rPr>
              <w:t xml:space="preserve">Исполнитель в обязательном порядке должен провести УЗИ органов брюшной полости у работников заказчика с пунктом вредности 1.50. согласно приложения к приказу Минздрава России от 28.01.2021 № 29н.</w:t>
            </w:r>
            <w:r>
              <w:rPr>
                <w:bCs/>
                <w:i/>
                <w:sz w:val="24"/>
                <w:szCs w:val="24"/>
                <w:highlight w:val="none"/>
                <w:u w:val="single"/>
              </w:rPr>
            </w:r>
            <w:r>
              <w:rPr>
                <w:bCs/>
                <w:i/>
                <w:sz w:val="24"/>
                <w:szCs w:val="24"/>
                <w:highlight w:val="none"/>
                <w:u w:val="singl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u w:val="single"/>
              </w:rPr>
            </w:pPr>
            <w:r>
              <w:rPr>
                <w:i/>
                <w:iCs/>
                <w:sz w:val="24"/>
                <w:szCs w:val="24"/>
                <w:highlight w:val="none"/>
                <w:u w:val="single"/>
              </w:rPr>
            </w:r>
            <w:r>
              <w:rPr>
                <w:bCs/>
                <w:i/>
                <w:sz w:val="24"/>
                <w:szCs w:val="24"/>
                <w:u w:val="single"/>
              </w:rPr>
            </w:r>
            <w:r>
              <w:rPr>
                <w:bCs/>
                <w:i/>
                <w:sz w:val="24"/>
                <w:szCs w:val="24"/>
                <w:u w:val="singl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highlight w:val="none"/>
                <w:u w:val="single"/>
              </w:rPr>
            </w:pPr>
            <w:r>
              <w:rPr>
                <w:i/>
                <w:iCs/>
                <w:sz w:val="24"/>
                <w:szCs w:val="24"/>
                <w:highlight w:val="none"/>
                <w:u w:val="single"/>
              </w:rPr>
              <w:t xml:space="preserve">Исполнитель в обязательном порядке должен провести рентгенографию длинных трубчатых костей и рентгенографию грудной клетки в 2-х проекциях у работников заказчика с пунктом вредности 3.1.7.  </w:t>
            </w:r>
            <w:r>
              <w:rPr>
                <w:i/>
                <w:iCs/>
                <w:sz w:val="24"/>
                <w:szCs w:val="24"/>
                <w:highlight w:val="none"/>
                <w:u w:val="single"/>
              </w:rPr>
              <w:t xml:space="preserve">согласно приложения к приказу Минздрава России от 28.01.2021 № 29н.</w:t>
            </w:r>
            <w:r>
              <w:rPr>
                <w:bCs/>
                <w:i/>
                <w:sz w:val="24"/>
                <w:szCs w:val="24"/>
                <w:highlight w:val="none"/>
                <w:u w:val="single"/>
              </w:rPr>
            </w:r>
            <w:r>
              <w:rPr>
                <w:bCs/>
                <w:i/>
                <w:sz w:val="24"/>
                <w:szCs w:val="24"/>
                <w:highlight w:val="none"/>
                <w:u w:val="single"/>
              </w:rPr>
            </w:r>
          </w:p>
        </w:tc>
        <w:tc>
          <w:tcPr>
            <w:shd w:val="clear" w:color="auto" w:fill="auto"/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shd w:val="clear" w:color="auto" w:fill="auto"/>
            <w:tcW w:w="226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5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Требования к процедурам оказания услуг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W w:w="225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Организационно-технические мероприятия по допуску персонала исполнителя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5174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Допуск персонала исполнителя для оказания услуг должен осуществляться в соответствии с локально-нормативными актами СП «Благовещенская ТЭЦ».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pStyle w:val="1025"/>
              <w:jc w:val="left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784" w:type="dxa"/>
            <w:vAlign w:val="center"/>
            <w:vMerge w:val="restart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2253" w:type="dxa"/>
            <w:vMerge w:val="restart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в отношении соблюдения конфиденциальности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5174" w:type="dxa"/>
            <w:vMerge w:val="restart"/>
            <w:textDirection w:val="lrTb"/>
            <w:noWrap w:val="false"/>
          </w:tcPr>
          <w:p>
            <w:pPr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Исполнитель обязан не раскрывать третьим лицам и не распространять персональные данные без согласия субъекта персональных данных, </w:t>
            </w:r>
            <w:r>
              <w:rPr>
                <w:i/>
                <w:sz w:val="24"/>
                <w:szCs w:val="24"/>
                <w:shd w:val="clear" w:color="auto" w:fill="ffffff"/>
              </w:rPr>
              <w:t xml:space="preserve">если </w:t>
            </w:r>
            <w:hyperlink r:id="rId13" w:tooltip="https://www.consultant.ru/document/cons_doc_LAW_61801/a15bab6050028753706f22c32fe60627a7be79f9/" w:history="1">
              <w:r>
                <w:rPr>
                  <w:rStyle w:val="970"/>
                  <w:i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иное</w:t>
              </w:r>
            </w:hyperlink>
            <w:r>
              <w:rPr>
                <w:i/>
                <w:sz w:val="24"/>
                <w:szCs w:val="24"/>
                <w:shd w:val="clear" w:color="auto" w:fill="ffffff"/>
              </w:rPr>
              <w:t xml:space="preserve"> не </w:t>
            </w:r>
            <w:r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предусмотрено законодательством РФ.</w:t>
            </w:r>
            <w:r>
              <w:rPr>
                <w:bCs/>
                <w:i/>
                <w:color w:val="000000"/>
                <w:sz w:val="24"/>
                <w:szCs w:val="24"/>
              </w:rPr>
            </w:r>
            <w:r>
              <w:rPr>
                <w:bCs/>
                <w:i/>
                <w:color w:val="000000"/>
                <w:sz w:val="24"/>
                <w:szCs w:val="24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vMerge w:val="restart"/>
            <w:textDirection w:val="lrTb"/>
            <w:noWrap w:val="false"/>
          </w:tcPr>
          <w:p>
            <w:pPr>
              <w:pStyle w:val="1025"/>
              <w:jc w:val="left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2155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W w:w="225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Наличие подтверждающих документов</w:t>
            </w: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  <w:tc>
          <w:tcPr>
            <w:tcW w:w="5174" w:type="dxa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Наличие сертификатов, лицензий и своевременных поверок оборудования.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Наличие медицинских инструментов и оборудования, необходимых для осуществления деятельности, предусмотренной данным техническим требованиям.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у</w:t>
            </w:r>
            <w:r>
              <w:rPr>
                <w:b/>
                <w:sz w:val="24"/>
                <w:szCs w:val="24"/>
              </w:rPr>
              <w:t xml:space="preserve">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W w:w="2253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>
              <w:rPr>
                <w:i/>
                <w:iCs/>
                <w:sz w:val="24"/>
                <w:szCs w:val="24"/>
              </w:rPr>
              <w:t xml:space="preserve">Результат оказания услуг</w:t>
            </w:r>
            <w:r/>
          </w:p>
        </w:tc>
        <w:tc>
          <w:tcPr>
            <w:tcW w:w="5174" w:type="dxa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Проведение периодического медицинского осмотра персоналу, наличие заключений врачей-специалистов и результатов лабораторных и функциональных исследований в объеме, установленно</w:t>
            </w:r>
            <w:r>
              <w:rPr>
                <w:i/>
                <w:iCs/>
                <w:sz w:val="24"/>
                <w:szCs w:val="24"/>
              </w:rPr>
              <w:t xml:space="preserve">м</w:t>
            </w:r>
            <w:r>
              <w:rPr>
                <w:i/>
                <w:iCs/>
                <w:sz w:val="24"/>
                <w:szCs w:val="24"/>
              </w:rPr>
              <w:t xml:space="preserve"> Порядком проведения обязательных предварительных и периодических медицинских осмотров работников, предусмотренных частью пятой статьи 220 Трудового кодекса Российской Федерации, утвержденного приказом Министерства здравоохранения РФ от 28.01.2021 г. №29н.</w:t>
            </w:r>
            <w:r/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pStyle w:val="1025"/>
              <w:jc w:val="left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W w:w="2253" w:type="dxa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Документы, передаваемые заказчику по результатам оказанных услуг</w:t>
            </w:r>
            <w:r/>
          </w:p>
        </w:tc>
        <w:tc>
          <w:tcPr>
            <w:tcW w:w="5174" w:type="dxa"/>
            <w:textDirection w:val="lrTb"/>
            <w:noWrap w:val="false"/>
          </w:tcPr>
          <w:p>
            <w:r>
              <w:rPr>
                <w:i/>
                <w:iCs/>
                <w:sz w:val="24"/>
                <w:szCs w:val="24"/>
              </w:rPr>
              <w:t xml:space="preserve">Исполнитель передает заказчику заключительный акт в соответствии с п.</w:t>
            </w:r>
            <w:r>
              <w:rPr>
                <w:i/>
                <w:iCs/>
                <w:sz w:val="24"/>
                <w:szCs w:val="24"/>
              </w:rPr>
              <w:t xml:space="preserve">4</w:t>
            </w:r>
            <w:r>
              <w:rPr>
                <w:i/>
                <w:iCs/>
                <w:sz w:val="24"/>
                <w:szCs w:val="24"/>
              </w:rPr>
              <w:t xml:space="preserve">5 Порядка проведения обязательных предварительных и периодических медицинских осмотров работников, предусмотренных частью пятой статьи 220 Трудового кодекса Российской Федерации, утвержденного приказом Министерства здравоохранения РФ от 28.01.2021 г. №29н.</w:t>
            </w:r>
            <w:r/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pStyle w:val="1025"/>
              <w:jc w:val="left"/>
              <w:keepNext w:val="0"/>
              <w:outlineLvl w:val="2"/>
            </w:pPr>
            <w:r/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pStyle w:val="1025"/>
              <w:jc w:val="left"/>
              <w:keepNext w:val="0"/>
              <w:outlineLvl w:val="2"/>
            </w:pPr>
            <w:r/>
            <w:r/>
          </w:p>
        </w:tc>
      </w:tr>
      <w:tr>
        <w:tblPrEx/>
        <w:trPr/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0"/>
                <w:numId w:val="16"/>
              </w:numPr>
              <w:jc w:val="center"/>
              <w:spacing w:before="60" w:after="60"/>
            </w:pPr>
            <w:r/>
            <w:r/>
          </w:p>
        </w:tc>
        <w:tc>
          <w:tcPr>
            <w:gridSpan w:val="2"/>
            <w:tcW w:w="7427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37"/>
        </w:trPr>
        <w:tc>
          <w:tcPr>
            <w:tcW w:w="784" w:type="dxa"/>
            <w:vAlign w:val="center"/>
            <w:textDirection w:val="lrTb"/>
            <w:noWrap w:val="false"/>
          </w:tcPr>
          <w:p>
            <w:pPr>
              <w:pStyle w:val="100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W w:w="2253" w:type="dxa"/>
            <w:textDirection w:val="lrTb"/>
            <w:noWrap w:val="false"/>
          </w:tcPr>
          <w:p>
            <w:pPr>
              <w:pStyle w:val="1025"/>
              <w:jc w:val="left"/>
              <w:keepNext w:val="0"/>
              <w:rPr>
                <w:rFonts w:eastAsia="Times New Roman"/>
                <w:b w:val="0"/>
                <w:bCs/>
                <w:i/>
              </w:rPr>
            </w:pPr>
            <w:r>
              <w:rPr>
                <w:b w:val="0"/>
                <w:i/>
                <w:iCs/>
              </w:rPr>
              <w:t xml:space="preserve">Ответственность Исполнителя</w:t>
            </w:r>
            <w:r>
              <w:rPr>
                <w:rFonts w:eastAsia="Times New Roman"/>
                <w:b w:val="0"/>
                <w:bCs/>
                <w:i/>
              </w:rPr>
            </w:r>
            <w:r>
              <w:rPr>
                <w:rFonts w:eastAsia="Times New Roman"/>
                <w:b w:val="0"/>
                <w:bCs/>
                <w:i/>
              </w:rPr>
            </w:r>
          </w:p>
        </w:tc>
        <w:tc>
          <w:tcPr>
            <w:tcW w:w="5174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highlight w:val="yellow"/>
              </w:rPr>
            </w:pPr>
            <w:r>
              <w:rPr>
                <w:bCs/>
                <w:i/>
                <w:iCs/>
                <w:sz w:val="24"/>
                <w:szCs w:val="24"/>
              </w:rPr>
              <w:t xml:space="preserve">Исполнитель несет ответственность за оформление заключительного акта медицинского осмотра.</w:t>
            </w:r>
            <w:r>
              <w:rPr>
                <w:bCs/>
                <w:i/>
                <w:sz w:val="24"/>
                <w:szCs w:val="24"/>
                <w:highlight w:val="yellow"/>
              </w:rPr>
            </w:r>
            <w:r>
              <w:rPr>
                <w:bCs/>
                <w:i/>
                <w:sz w:val="24"/>
                <w:szCs w:val="24"/>
                <w:highlight w:val="yellow"/>
              </w:rPr>
            </w:r>
          </w:p>
        </w:tc>
        <w:tc>
          <w:tcPr>
            <w:tcW w:w="2250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2269" w:type="dxa"/>
            <w:textDirection w:val="lrTb"/>
            <w:noWrap w:val="false"/>
          </w:tcPr>
          <w:p>
            <w:pPr>
              <w:pStyle w:val="1025"/>
              <w:jc w:val="left"/>
              <w:keepNext w:val="0"/>
            </w:pPr>
            <w:r/>
            <w:r/>
          </w:p>
        </w:tc>
        <w:tc>
          <w:tcPr>
            <w:tcW w:w="2155" w:type="dxa"/>
            <w:textDirection w:val="lrTb"/>
            <w:noWrap w:val="false"/>
          </w:tcPr>
          <w:p>
            <w:pPr>
              <w:pStyle w:val="1025"/>
              <w:jc w:val="left"/>
              <w:keepNext w:val="0"/>
            </w:pPr>
            <w:r/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0"/>
        <w:ind w:left="360"/>
        <w:jc w:val="center"/>
        <w:keepLines/>
        <w:keepNext/>
        <w:spacing w:before="120" w:after="60"/>
        <w:rPr>
          <w:b/>
          <w:sz w:val="28"/>
          <w:szCs w:val="28"/>
        </w:rPr>
        <w:outlineLvl w:val="0"/>
      </w:pPr>
      <w:r/>
      <w:bookmarkStart w:id="29" w:name="_Toc46743519"/>
      <w:r/>
      <w:bookmarkStart w:id="30" w:name="_Toc51339699"/>
      <w:r/>
      <w:bookmarkStart w:id="31" w:name="_Toc138080378"/>
      <w:r>
        <w:rPr>
          <w:b/>
          <w:sz w:val="28"/>
          <w:szCs w:val="28"/>
        </w:rPr>
        <w:t xml:space="preserve">3. </w:t>
      </w:r>
      <w:bookmarkEnd w:id="29"/>
      <w:r/>
      <w:bookmarkEnd w:id="30"/>
      <w:r>
        <w:rPr>
          <w:b/>
          <w:sz w:val="28"/>
          <w:szCs w:val="28"/>
        </w:rPr>
        <w:t xml:space="preserve">Требования к документации по ценообразованию на этапе закупки</w:t>
      </w:r>
      <w:bookmarkEnd w:id="31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31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1031"/>
          <w:b w:val="0"/>
          <w:bCs/>
          <w:iCs/>
          <w:sz w:val="24"/>
          <w:szCs w:val="24"/>
        </w:rPr>
      </w:r>
      <w:r>
        <w:rPr>
          <w:rStyle w:val="1031"/>
          <w:b w:val="0"/>
          <w:bCs/>
          <w:iCs/>
          <w:sz w:val="24"/>
          <w:szCs w:val="24"/>
        </w:rPr>
      </w:r>
    </w:p>
    <w:p>
      <w:pPr>
        <w:ind w:firstLine="709"/>
        <w:jc w:val="both"/>
        <w:tabs>
          <w:tab w:val="left" w:pos="567" w:leader="none"/>
          <w:tab w:val="left" w:pos="993" w:leader="none"/>
          <w:tab w:val="num" w:pos="1134" w:leader="none"/>
        </w:tabs>
        <w:rPr>
          <w:rFonts w:eastAsia="Calibri"/>
          <w:bCs/>
          <w:i/>
          <w:sz w:val="24"/>
          <w:szCs w:val="24"/>
          <w:highlight w:val="none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 xml:space="preserve">3.1.</w:t>
      </w:r>
      <w:r>
        <w:rPr>
          <w:rFonts w:eastAsia="Calibri"/>
          <w:i/>
          <w:sz w:val="24"/>
          <w:szCs w:val="24"/>
          <w:lang w:eastAsia="en-US"/>
        </w:rPr>
        <w:tab/>
        <w:t xml:space="preserve"> В обоснование стоимости своей заявки Участник должен предоставить «Коммерческое предложение», по форме, приведенной в Документации о закупке.</w:t>
      </w:r>
      <w:r>
        <w:rPr>
          <w:rFonts w:eastAsia="Calibri"/>
          <w:bCs/>
          <w:i/>
          <w:sz w:val="24"/>
          <w:szCs w:val="24"/>
          <w:lang w:eastAsia="en-US"/>
        </w:rPr>
      </w:r>
      <w:r>
        <w:rPr>
          <w:rFonts w:eastAsia="Calibri"/>
          <w:bCs/>
          <w:i/>
          <w:sz w:val="24"/>
          <w:szCs w:val="24"/>
          <w:highlight w:val="none"/>
          <w:lang w:eastAsia="en-US"/>
        </w:rPr>
      </w:r>
    </w:p>
    <w:p>
      <w:pPr>
        <w:ind w:firstLine="709"/>
        <w:jc w:val="both"/>
        <w:tabs>
          <w:tab w:val="left" w:pos="567" w:leader="none"/>
          <w:tab w:val="left" w:pos="993" w:leader="none"/>
          <w:tab w:val="num" w:pos="1134" w:leader="none"/>
        </w:tabs>
      </w:pPr>
      <w:r>
        <w:rPr>
          <w:rFonts w:eastAsia="Calibri"/>
          <w:bCs/>
          <w:i/>
          <w:sz w:val="24"/>
          <w:szCs w:val="24"/>
          <w:highlight w:val="none"/>
          <w:lang w:eastAsia="en-US"/>
        </w:rPr>
        <w:t xml:space="preserve">3.2. </w:t>
      </w:r>
      <w:r>
        <w:rPr>
          <w:rFonts w:eastAsia="Calibri"/>
          <w:bCs/>
          <w:i/>
          <w:sz w:val="24"/>
          <w:szCs w:val="24"/>
          <w:highlight w:val="none"/>
          <w:lang w:eastAsia="en-US"/>
        </w:rPr>
        <w:t xml:space="preserve">В составе предложения участник не предоставляет документы по ценообразованию.</w:t>
      </w:r>
      <w:r>
        <w:rPr>
          <w:rFonts w:eastAsia="Calibri"/>
          <w:bCs/>
          <w:i/>
          <w:sz w:val="24"/>
          <w:szCs w:val="24"/>
          <w:highlight w:val="none"/>
          <w:lang w:eastAsia="en-US"/>
        </w:rPr>
      </w:r>
    </w:p>
    <w:p>
      <w:pPr>
        <w:ind w:firstLine="709"/>
        <w:jc w:val="both"/>
        <w:tabs>
          <w:tab w:val="left" w:pos="567" w:leader="none"/>
          <w:tab w:val="left" w:pos="993" w:leader="none"/>
          <w:tab w:val="num" w:pos="1134" w:leader="none"/>
        </w:tabs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highlight w:val="none"/>
          <w:lang w:eastAsia="en-US"/>
        </w:rPr>
      </w:r>
      <w:r>
        <w:rPr>
          <w:rFonts w:eastAsia="Calibri"/>
          <w:bCs/>
          <w:i/>
          <w:sz w:val="24"/>
          <w:szCs w:val="24"/>
          <w:highlight w:val="none"/>
          <w:lang w:eastAsia="en-US"/>
        </w:rPr>
      </w:r>
      <w:r>
        <w:rPr>
          <w:rFonts w:eastAsia="Calibri"/>
          <w:bCs/>
          <w:i/>
          <w:sz w:val="24"/>
          <w:szCs w:val="24"/>
          <w:highlight w:val="none"/>
          <w:lang w:eastAsia="en-US"/>
        </w:rPr>
      </w:r>
      <w:r>
        <w:rPr>
          <w:rFonts w:eastAsia="Calibri"/>
          <w:bCs/>
          <w:i/>
          <w:sz w:val="24"/>
          <w:szCs w:val="24"/>
          <w:highlight w:val="none"/>
          <w:lang w:eastAsia="en-US"/>
        </w:rPr>
      </w:r>
      <w:r/>
    </w:p>
    <w:p>
      <w:pPr>
        <w:ind w:firstLine="709"/>
        <w:jc w:val="both"/>
        <w:tabs>
          <w:tab w:val="left" w:pos="567" w:leader="none"/>
          <w:tab w:val="left" w:pos="993" w:leader="none"/>
          <w:tab w:val="num" w:pos="1134" w:leader="none"/>
        </w:tabs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</w:r>
      <w:r>
        <w:rPr>
          <w:rFonts w:eastAsia="Calibri"/>
          <w:bCs/>
          <w:i/>
          <w:sz w:val="24"/>
          <w:szCs w:val="24"/>
          <w:lang w:eastAsia="en-US"/>
        </w:rPr>
      </w:r>
      <w:r>
        <w:rPr>
          <w:rFonts w:eastAsia="Calibri"/>
          <w:bCs/>
          <w:i/>
          <w:sz w:val="24"/>
          <w:szCs w:val="24"/>
          <w:lang w:eastAsia="en-US"/>
        </w:rPr>
      </w:r>
    </w:p>
    <w:p>
      <w:pPr>
        <w:ind w:firstLine="709"/>
        <w:jc w:val="center"/>
        <w:tabs>
          <w:tab w:val="left" w:pos="567" w:leader="none"/>
          <w:tab w:val="left" w:pos="993" w:leader="none"/>
          <w:tab w:val="num" w:pos="1134" w:leader="none"/>
        </w:tabs>
        <w:rPr>
          <w:rFonts w:eastAsia="Calibri"/>
          <w:b/>
          <w:bCs/>
          <w:iCs/>
          <w:lang w:eastAsia="en-US"/>
        </w:rPr>
      </w:pPr>
      <w:r>
        <w:rPr>
          <w:rFonts w:eastAsia="Calibri"/>
          <w:b/>
          <w:bCs/>
          <w:iCs/>
          <w:lang w:eastAsia="en-US"/>
        </w:rPr>
        <w:t xml:space="preserve">4.</w:t>
      </w:r>
      <w:r>
        <w:rPr>
          <w:rFonts w:eastAsia="Calibri"/>
          <w:b/>
          <w:bCs/>
          <w:iCs/>
          <w:lang w:eastAsia="en-US"/>
        </w:rPr>
        <w:tab/>
        <w:t xml:space="preserve">Требования к документации по ценообразованию на этапе заключения (исполнения) договора</w:t>
      </w:r>
      <w:r>
        <w:rPr>
          <w:rFonts w:eastAsia="Calibri"/>
          <w:b/>
          <w:bCs/>
          <w:iCs/>
          <w:lang w:eastAsia="en-US"/>
        </w:rPr>
      </w:r>
      <w:r>
        <w:rPr>
          <w:rFonts w:eastAsia="Calibri"/>
          <w:b/>
          <w:bCs/>
          <w:iCs/>
          <w:lang w:eastAsia="en-US"/>
        </w:rPr>
      </w:r>
    </w:p>
    <w:p>
      <w:pPr>
        <w:ind w:firstLine="709"/>
        <w:jc w:val="center"/>
        <w:tabs>
          <w:tab w:val="left" w:pos="567" w:leader="none"/>
          <w:tab w:val="left" w:pos="993" w:leader="none"/>
          <w:tab w:val="num" w:pos="1134" w:leader="none"/>
        </w:tabs>
        <w:rPr>
          <w:rFonts w:eastAsia="Calibri"/>
          <w:b/>
          <w:bCs/>
          <w:iCs/>
          <w:lang w:eastAsia="en-US"/>
        </w:rPr>
      </w:pPr>
      <w:r>
        <w:rPr>
          <w:rFonts w:eastAsia="Calibri"/>
          <w:b/>
          <w:bCs/>
          <w:iCs/>
          <w:lang w:eastAsia="en-US"/>
        </w:rPr>
      </w:r>
      <w:r>
        <w:rPr>
          <w:rFonts w:eastAsia="Calibri"/>
          <w:b/>
          <w:bCs/>
          <w:iCs/>
          <w:lang w:eastAsia="en-US"/>
        </w:rPr>
      </w:r>
      <w:r>
        <w:rPr>
          <w:rFonts w:eastAsia="Calibri"/>
          <w:b/>
          <w:bCs/>
          <w:iCs/>
          <w:lang w:eastAsia="en-US"/>
        </w:rPr>
      </w:r>
    </w:p>
    <w:p>
      <w:pPr>
        <w:ind w:firstLine="709"/>
        <w:jc w:val="both"/>
        <w:spacing w:line="276" w:lineRule="auto"/>
        <w:widowControl w:val="off"/>
        <w:rPr>
          <w:bCs/>
          <w:i/>
        </w:rPr>
      </w:pPr>
      <w:r>
        <w:rPr>
          <w:i/>
          <w:iCs/>
          <w:lang w:eastAsia="en-US"/>
        </w:rPr>
        <w:t xml:space="preserve">4.1. </w:t>
      </w:r>
      <w:r>
        <w:rPr>
          <w:i/>
          <w:iCs/>
          <w:sz w:val="26"/>
          <w:szCs w:val="26"/>
        </w:rPr>
        <w:t xml:space="preserve">Разработка сметной документации/калькуляции осуществляется при заключении и исполнении договора в соответствии со следующими требованиями:</w:t>
      </w:r>
      <w:r>
        <w:rPr>
          <w:bCs/>
          <w:i/>
        </w:rPr>
      </w:r>
      <w:r>
        <w:rPr>
          <w:bCs/>
          <w:i/>
        </w:rPr>
      </w:r>
    </w:p>
    <w:p>
      <w:pPr>
        <w:ind w:firstLine="709"/>
        <w:jc w:val="both"/>
        <w:spacing w:line="276" w:lineRule="auto"/>
        <w:widowControl w:val="off"/>
        <w:rPr>
          <w:bCs/>
          <w:i/>
        </w:rPr>
      </w:pPr>
      <w:r>
        <w:rPr>
          <w:i/>
          <w:iCs/>
          <w:sz w:val="26"/>
          <w:szCs w:val="26"/>
        </w:rPr>
        <w:t xml:space="preserve">- на стадии заключения Договора Исполнитель предоставляет Калькуляцию стоимости с учетом всех объемов услуг, указанных в данных Те</w:t>
      </w:r>
      <w:r>
        <w:rPr>
          <w:i/>
          <w:iCs/>
          <w:sz w:val="26"/>
          <w:szCs w:val="26"/>
        </w:rPr>
        <w:t xml:space="preserve">хнических требованиях. При формировании стоимости услуг – стоимость должна быть подтверждена подробным и обоснованным расчётом, учитывающим весь объём услуг, все предполагаемые затраты исполнителя, обязательные платежи, стоимость всех сопутствующих услуг. </w:t>
      </w:r>
      <w:r>
        <w:rPr>
          <w:bCs/>
          <w:i/>
        </w:rPr>
      </w:r>
      <w:r>
        <w:rPr>
          <w:bCs/>
          <w:i/>
        </w:rPr>
      </w:r>
    </w:p>
    <w:p>
      <w:pPr>
        <w:ind w:firstLine="709"/>
        <w:jc w:val="both"/>
        <w:spacing w:line="276" w:lineRule="auto"/>
        <w:shd w:val="clear" w:color="auto" w:fill="ffffff"/>
        <w:widowControl w:val="off"/>
        <w:rPr>
          <w:bCs/>
          <w:i/>
        </w:rPr>
      </w:pPr>
      <w:r>
        <w:rPr>
          <w:i/>
          <w:iCs/>
          <w:sz w:val="26"/>
          <w:szCs w:val="26"/>
        </w:rPr>
        <w:t xml:space="preserve">- калькуляция на оказание услуг, составленная на основании трудозатрат должна отображать количество отработанного времени Исполнителем (трудозатраты), стоимость чел./час, ито</w:t>
      </w:r>
      <w:r>
        <w:rPr>
          <w:i/>
          <w:iCs/>
          <w:sz w:val="26"/>
          <w:szCs w:val="26"/>
        </w:rPr>
        <w:t xml:space="preserve">говые затраты по каждой строке расчёта, накладные расходы, материальные затраты, рентабельность и прочие предполагаемые затраты и подтверждаться справкой, отображающей ценовые показатели расчета, заверенной руководителем организации и главным бухгалтером. </w:t>
      </w:r>
      <w:r>
        <w:rPr>
          <w:bCs/>
          <w:i/>
        </w:rPr>
      </w:r>
      <w:r>
        <w:rPr>
          <w:bCs/>
          <w:i/>
        </w:rPr>
      </w:r>
    </w:p>
    <w:p>
      <w:pPr>
        <w:ind w:firstLine="709"/>
        <w:jc w:val="both"/>
        <w:spacing w:line="276" w:lineRule="auto"/>
        <w:shd w:val="clear" w:color="auto" w:fill="ffffff"/>
        <w:widowControl w:val="off"/>
        <w:rPr>
          <w:bCs/>
          <w:i/>
        </w:rPr>
      </w:pPr>
      <w:r>
        <w:rPr>
          <w:i/>
          <w:iCs/>
          <w:sz w:val="26"/>
          <w:szCs w:val="26"/>
        </w:rPr>
        <w:t xml:space="preserve">- при составлении Калькуляции на основании внутреннего </w:t>
      </w:r>
      <w:r>
        <w:rPr>
          <w:i/>
          <w:iCs/>
          <w:sz w:val="26"/>
          <w:szCs w:val="26"/>
        </w:rPr>
        <w:t xml:space="preserve">ценообразующего</w:t>
      </w:r>
      <w:r>
        <w:rPr>
          <w:i/>
          <w:iCs/>
          <w:sz w:val="26"/>
          <w:szCs w:val="26"/>
        </w:rPr>
        <w:t xml:space="preserve"> документа организации (Прейскуранта цен) расчет должен подтверждаться данным документом.  Или заверенной руководителем организации и главным бухгалтером </w:t>
      </w:r>
      <w:r>
        <w:rPr>
          <w:i/>
          <w:iCs/>
          <w:sz w:val="26"/>
          <w:szCs w:val="26"/>
        </w:rPr>
        <w:t xml:space="preserve">выкопировкой</w:t>
      </w:r>
      <w:r>
        <w:rPr>
          <w:i/>
          <w:iCs/>
          <w:sz w:val="26"/>
          <w:szCs w:val="26"/>
        </w:rPr>
        <w:t xml:space="preserve"> из данного документа с отображением учтенных в расчете позиций. </w:t>
      </w:r>
      <w:r>
        <w:rPr>
          <w:bCs/>
          <w:i/>
        </w:rPr>
      </w:r>
      <w:r>
        <w:rPr>
          <w:bCs/>
          <w:i/>
        </w:rPr>
      </w:r>
    </w:p>
    <w:p>
      <w:pPr>
        <w:pStyle w:val="1000"/>
        <w:ind w:left="0" w:firstLine="567"/>
        <w:jc w:val="both"/>
        <w:keepLines/>
        <w:keepNext/>
        <w:spacing w:before="120" w:after="60"/>
        <w:rPr>
          <w:bCs/>
          <w:i/>
        </w:rPr>
      </w:pPr>
      <w:r>
        <w:rPr>
          <w:i/>
          <w:iCs/>
          <w:sz w:val="26"/>
          <w:szCs w:val="26"/>
        </w:rPr>
        <w:t xml:space="preserve">- командировочные расходы в случае их учета в сметах или расчетах определяются по предварительному расчету с расшифровкой затрат на проезд, проживание, суточные расходы (не более 500 руб./</w:t>
      </w:r>
      <w:r>
        <w:rPr>
          <w:i/>
          <w:iCs/>
          <w:sz w:val="26"/>
          <w:szCs w:val="26"/>
        </w:rPr>
        <w:t xml:space="preserve">сут</w:t>
      </w:r>
      <w:r>
        <w:rPr>
          <w:i/>
          <w:iCs/>
          <w:sz w:val="26"/>
          <w:szCs w:val="26"/>
        </w:rPr>
        <w:t xml:space="preserve">.). Заказчик имеет право в период действия Договора запросить у Подрядчика копии первичных документов, платёжных поручений, реестры и т.д. для проверки соответствия суммы командировочных расходов фактическим затратам.</w:t>
      </w:r>
      <w:r>
        <w:rPr>
          <w:bCs/>
          <w:i/>
        </w:rPr>
      </w:r>
      <w:r>
        <w:rPr>
          <w:bCs/>
          <w:i/>
        </w:rPr>
      </w:r>
    </w:p>
    <w:p>
      <w:pPr>
        <w:ind w:firstLine="709"/>
        <w:jc w:val="both"/>
        <w:tabs>
          <w:tab w:val="left" w:pos="567" w:leader="none"/>
          <w:tab w:val="left" w:pos="993" w:leader="none"/>
          <w:tab w:val="num" w:pos="1134" w:leader="none"/>
        </w:tabs>
        <w:rPr>
          <w:rStyle w:val="1031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1031"/>
          <w:b w:val="0"/>
          <w:bCs/>
          <w:sz w:val="24"/>
          <w:szCs w:val="24"/>
        </w:rPr>
      </w:r>
      <w:r>
        <w:rPr>
          <w:rStyle w:val="1031"/>
          <w:b w:val="0"/>
          <w:bCs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31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1031"/>
          <w:b w:val="0"/>
          <w:bCs/>
          <w:sz w:val="24"/>
          <w:szCs w:val="24"/>
        </w:rPr>
      </w:r>
      <w:r>
        <w:rPr>
          <w:rStyle w:val="1031"/>
          <w:b w:val="0"/>
          <w:bCs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31"/>
          <w:b w:val="0"/>
          <w:bCs/>
          <w:i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31"/>
          <w:b w:val="0"/>
          <w:bCs/>
          <w:i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31"/>
          <w:b w:val="0"/>
          <w:bCs/>
          <w:i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031"/>
          <w:b w:val="0"/>
          <w:bCs/>
          <w:i w:val="0"/>
          <w:sz w:val="24"/>
          <w:szCs w:val="24"/>
        </w:rPr>
      </w:pPr>
      <w:r>
        <w:rPr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  <w:r>
        <w:rPr>
          <w:rStyle w:val="1031"/>
          <w:b w:val="0"/>
          <w:bCs/>
          <w:i w:val="0"/>
          <w:sz w:val="24"/>
          <w:szCs w:val="24"/>
        </w:rPr>
      </w:r>
    </w:p>
    <w:p>
      <w:pPr>
        <w:ind w:left="851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rPr>
        <w:rStyle w:val="967"/>
      </w:rPr>
      <w:framePr w:wrap="around" w:vAnchor="text" w:hAnchor="margin" w:xAlign="center" w:y="1"/>
    </w:pPr>
    <w:r>
      <w:rPr>
        <w:rStyle w:val="967"/>
      </w:rPr>
      <w:fldChar w:fldCharType="begin"/>
    </w:r>
    <w:r>
      <w:rPr>
        <w:rStyle w:val="967"/>
      </w:rPr>
      <w:instrText xml:space="preserve">PAGE  </w:instrText>
    </w:r>
    <w:r>
      <w:rPr>
        <w:rStyle w:val="967"/>
      </w:rPr>
      <w:fldChar w:fldCharType="end"/>
    </w:r>
    <w:r>
      <w:rPr>
        <w:rStyle w:val="967"/>
      </w:rPr>
    </w:r>
    <w:r>
      <w:rPr>
        <w:rStyle w:val="967"/>
      </w:rPr>
    </w:r>
  </w:p>
  <w:p>
    <w:pPr>
      <w:pStyle w:val="95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pStyle w:val="789"/>
      <w:isLgl w:val="false"/>
      <w:suff w:val="tab"/>
      <w:lvlText w:val="%1."/>
      <w:lvlJc w:val="left"/>
      <w:pPr>
        <w:ind w:left="4188" w:hanging="360"/>
      </w:pPr>
      <w:rPr>
        <w:rFonts w:ascii="Times New Roman" w:hAnsi="Times New Roman" w:eastAsia="Calibri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92"/>
      <w:isLgl w:val="false"/>
      <w:suff w:val="tab"/>
      <w:lvlText w:val="%1.%2."/>
      <w:lvlJc w:val="left"/>
      <w:pPr>
        <w:ind w:left="-418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91"/>
      <w:isLgl w:val="false"/>
      <w:suff w:val="tab"/>
      <w:lvlText w:val="%1.%2.%3."/>
      <w:lvlJc w:val="left"/>
      <w:pPr>
        <w:ind w:left="37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7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8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8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39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9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47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styleLink w:val="1024"/>
    <w:lvl w:ilvl="0">
      <w:start w:val="3"/>
      <w:numFmt w:val="decimal"/>
      <w:pStyle w:val="102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4"/>
      <w:numFmt w:val="bullet"/>
      <w:pStyle w:val="101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pStyle w:val="94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pStyle w:val="104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>
    <w:multiLevelType w:val="hybridMultilevel"/>
    <w:styleLink w:val="1028"/>
    <w:lvl w:ilvl="0">
      <w:start w:val="1"/>
      <w:numFmt w:val="decimal"/>
      <w:pStyle w:val="102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12"/>
  </w:num>
  <w:num w:numId="3">
    <w:abstractNumId w:val="8"/>
  </w:num>
  <w:num w:numId="4">
    <w:abstractNumId w:val="4"/>
  </w:num>
  <w:num w:numId="5">
    <w:abstractNumId w:val="42"/>
  </w:num>
  <w:num w:numId="6">
    <w:abstractNumId w:val="21"/>
  </w:num>
  <w:num w:numId="7">
    <w:abstractNumId w:val="35"/>
  </w:num>
  <w:num w:numId="8">
    <w:abstractNumId w:val="41"/>
  </w:num>
  <w:num w:numId="9">
    <w:abstractNumId w:val="7"/>
  </w:num>
  <w:num w:numId="10">
    <w:abstractNumId w:val="31"/>
  </w:num>
  <w:num w:numId="11">
    <w:abstractNumId w:val="23"/>
  </w:num>
  <w:num w:numId="12">
    <w:abstractNumId w:val="37"/>
  </w:num>
  <w:num w:numId="13">
    <w:abstractNumId w:val="20"/>
  </w:num>
  <w:num w:numId="14">
    <w:abstractNumId w:val="26"/>
  </w:num>
  <w:num w:numId="15">
    <w:abstractNumId w:val="30"/>
  </w:num>
  <w:num w:numId="16">
    <w:abstractNumId w:val="3"/>
  </w:num>
  <w:num w:numId="17">
    <w:abstractNumId w:val="5"/>
  </w:num>
  <w:num w:numId="18">
    <w:abstractNumId w:val="1"/>
  </w:num>
  <w:num w:numId="19">
    <w:abstractNumId w:val="13"/>
  </w:num>
  <w:num w:numId="20">
    <w:abstractNumId w:val="36"/>
  </w:num>
  <w:num w:numId="21">
    <w:abstractNumId w:val="22"/>
  </w:num>
  <w:num w:numId="22">
    <w:abstractNumId w:val="10"/>
  </w:num>
  <w:num w:numId="23">
    <w:abstractNumId w:val="2"/>
  </w:num>
  <w:num w:numId="24">
    <w:abstractNumId w:val="27"/>
  </w:num>
  <w:num w:numId="25">
    <w:abstractNumId w:val="18"/>
  </w:num>
  <w:num w:numId="26">
    <w:abstractNumId w:val="6"/>
  </w:num>
  <w:num w:numId="27">
    <w:abstractNumId w:val="29"/>
  </w:num>
  <w:num w:numId="28">
    <w:abstractNumId w:val="39"/>
  </w:num>
  <w:num w:numId="29">
    <w:abstractNumId w:val="40"/>
  </w:num>
  <w:num w:numId="30">
    <w:abstractNumId w:val="44"/>
  </w:num>
  <w:num w:numId="31">
    <w:abstractNumId w:val="15"/>
  </w:num>
  <w:num w:numId="32">
    <w:abstractNumId w:val="11"/>
  </w:num>
  <w:num w:numId="33">
    <w:abstractNumId w:val="0"/>
  </w:num>
  <w:num w:numId="34">
    <w:abstractNumId w:val="17"/>
  </w:num>
  <w:num w:numId="35">
    <w:abstractNumId w:val="28"/>
  </w:num>
  <w:num w:numId="36">
    <w:abstractNumId w:val="33"/>
  </w:num>
  <w:num w:numId="37">
    <w:abstractNumId w:val="34"/>
  </w:num>
  <w:num w:numId="38">
    <w:abstractNumId w:val="43"/>
  </w:num>
  <w:num w:numId="39">
    <w:abstractNumId w:val="25"/>
  </w:num>
  <w:num w:numId="40">
    <w:abstractNumId w:val="24"/>
  </w:num>
  <w:num w:numId="41">
    <w:abstractNumId w:val="16"/>
  </w:num>
  <w:num w:numId="42">
    <w:abstractNumId w:val="14"/>
  </w:num>
  <w:num w:numId="43">
    <w:abstractNumId w:val="9"/>
  </w:num>
  <w:num w:numId="44">
    <w:abstractNumId w:val="38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6">
    <w:name w:val="Title Char"/>
    <w:basedOn w:val="798"/>
    <w:link w:val="810"/>
    <w:uiPriority w:val="10"/>
    <w:rPr>
      <w:sz w:val="48"/>
      <w:szCs w:val="48"/>
    </w:rPr>
  </w:style>
  <w:style w:type="character" w:styleId="787">
    <w:name w:val="Caption Char"/>
    <w:basedOn w:val="995"/>
    <w:link w:val="958"/>
    <w:uiPriority w:val="99"/>
  </w:style>
  <w:style w:type="paragraph" w:styleId="788" w:default="1">
    <w:name w:val="Normal"/>
    <w:qFormat/>
    <w:rPr>
      <w:sz w:val="28"/>
      <w:szCs w:val="28"/>
    </w:rPr>
  </w:style>
  <w:style w:type="paragraph" w:styleId="789">
    <w:name w:val="Heading 1"/>
    <w:basedOn w:val="791"/>
    <w:next w:val="788"/>
    <w:link w:val="987"/>
    <w:qFormat/>
    <w:pPr>
      <w:numPr>
        <w:ilvl w:val="0"/>
      </w:numPr>
      <w:outlineLvl w:val="0"/>
    </w:pPr>
    <w:rPr>
      <w:sz w:val="28"/>
      <w:szCs w:val="28"/>
    </w:rPr>
  </w:style>
  <w:style w:type="paragraph" w:styleId="790">
    <w:name w:val="Heading 2"/>
    <w:basedOn w:val="792"/>
    <w:next w:val="788"/>
    <w:link w:val="989"/>
    <w:qFormat/>
    <w:pPr>
      <w:outlineLvl w:val="1"/>
    </w:pPr>
  </w:style>
  <w:style w:type="paragraph" w:styleId="791">
    <w:name w:val="Heading 3"/>
    <w:basedOn w:val="788"/>
    <w:next w:val="788"/>
    <w:link w:val="99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92">
    <w:name w:val="Heading 4"/>
    <w:basedOn w:val="791"/>
    <w:next w:val="788"/>
    <w:link w:val="991"/>
    <w:qFormat/>
    <w:pPr>
      <w:numPr>
        <w:ilvl w:val="1"/>
      </w:numPr>
      <w:outlineLvl w:val="3"/>
    </w:pPr>
    <w:rPr>
      <w:bCs/>
    </w:rPr>
  </w:style>
  <w:style w:type="paragraph" w:styleId="793">
    <w:name w:val="Heading 5"/>
    <w:basedOn w:val="788"/>
    <w:next w:val="788"/>
    <w:link w:val="99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94">
    <w:name w:val="Heading 6"/>
    <w:basedOn w:val="788"/>
    <w:next w:val="788"/>
    <w:link w:val="98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95">
    <w:name w:val="Heading 7"/>
    <w:basedOn w:val="788"/>
    <w:next w:val="788"/>
    <w:link w:val="98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96">
    <w:name w:val="Heading 8"/>
    <w:basedOn w:val="788"/>
    <w:next w:val="788"/>
    <w:link w:val="98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97">
    <w:name w:val="Heading 9"/>
    <w:basedOn w:val="788"/>
    <w:next w:val="788"/>
    <w:link w:val="99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98" w:default="1">
    <w:name w:val="Default Paragraph Font"/>
    <w:uiPriority w:val="1"/>
    <w:semiHidden/>
    <w:unhideWhenUsed/>
  </w:style>
  <w:style w:type="table" w:styleId="7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0" w:default="1">
    <w:name w:val="No List"/>
    <w:uiPriority w:val="99"/>
    <w:semiHidden/>
    <w:unhideWhenUsed/>
  </w:style>
  <w:style w:type="character" w:styleId="801" w:customStyle="1">
    <w:name w:val="Heading 1 Char"/>
    <w:basedOn w:val="798"/>
    <w:uiPriority w:val="9"/>
    <w:rPr>
      <w:rFonts w:ascii="Arial" w:hAnsi="Arial" w:eastAsia="Arial" w:cs="Arial"/>
      <w:sz w:val="40"/>
      <w:szCs w:val="40"/>
    </w:rPr>
  </w:style>
  <w:style w:type="character" w:styleId="802" w:customStyle="1">
    <w:name w:val="Heading 2 Char"/>
    <w:basedOn w:val="798"/>
    <w:uiPriority w:val="9"/>
    <w:rPr>
      <w:rFonts w:ascii="Arial" w:hAnsi="Arial" w:eastAsia="Arial" w:cs="Arial"/>
      <w:sz w:val="34"/>
    </w:rPr>
  </w:style>
  <w:style w:type="character" w:styleId="803" w:customStyle="1">
    <w:name w:val="Heading 3 Char"/>
    <w:basedOn w:val="798"/>
    <w:uiPriority w:val="9"/>
    <w:rPr>
      <w:rFonts w:ascii="Arial" w:hAnsi="Arial" w:eastAsia="Arial" w:cs="Arial"/>
      <w:sz w:val="30"/>
      <w:szCs w:val="30"/>
    </w:rPr>
  </w:style>
  <w:style w:type="character" w:styleId="804" w:customStyle="1">
    <w:name w:val="Heading 4 Char"/>
    <w:basedOn w:val="798"/>
    <w:uiPriority w:val="9"/>
    <w:rPr>
      <w:rFonts w:ascii="Arial" w:hAnsi="Arial" w:eastAsia="Arial" w:cs="Arial"/>
      <w:b/>
      <w:bCs/>
      <w:sz w:val="26"/>
      <w:szCs w:val="26"/>
    </w:rPr>
  </w:style>
  <w:style w:type="character" w:styleId="805" w:customStyle="1">
    <w:name w:val="Heading 5 Char"/>
    <w:basedOn w:val="798"/>
    <w:uiPriority w:val="9"/>
    <w:rPr>
      <w:rFonts w:ascii="Arial" w:hAnsi="Arial" w:eastAsia="Arial" w:cs="Arial"/>
      <w:b/>
      <w:bCs/>
      <w:sz w:val="24"/>
      <w:szCs w:val="24"/>
    </w:rPr>
  </w:style>
  <w:style w:type="character" w:styleId="806" w:customStyle="1">
    <w:name w:val="Heading 6 Char"/>
    <w:basedOn w:val="798"/>
    <w:uiPriority w:val="9"/>
    <w:rPr>
      <w:rFonts w:ascii="Arial" w:hAnsi="Arial" w:eastAsia="Arial" w:cs="Arial"/>
      <w:b/>
      <w:bCs/>
      <w:sz w:val="22"/>
      <w:szCs w:val="22"/>
    </w:rPr>
  </w:style>
  <w:style w:type="character" w:styleId="807" w:customStyle="1">
    <w:name w:val="Heading 7 Char"/>
    <w:basedOn w:val="7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8" w:customStyle="1">
    <w:name w:val="Heading 8 Char"/>
    <w:basedOn w:val="798"/>
    <w:uiPriority w:val="9"/>
    <w:rPr>
      <w:rFonts w:ascii="Arial" w:hAnsi="Arial" w:eastAsia="Arial" w:cs="Arial"/>
      <w:i/>
      <w:iCs/>
      <w:sz w:val="22"/>
      <w:szCs w:val="22"/>
    </w:rPr>
  </w:style>
  <w:style w:type="character" w:styleId="809" w:customStyle="1">
    <w:name w:val="Heading 9 Char"/>
    <w:basedOn w:val="798"/>
    <w:uiPriority w:val="9"/>
    <w:rPr>
      <w:rFonts w:ascii="Arial" w:hAnsi="Arial" w:eastAsia="Arial" w:cs="Arial"/>
      <w:i/>
      <w:iCs/>
      <w:sz w:val="21"/>
      <w:szCs w:val="21"/>
    </w:rPr>
  </w:style>
  <w:style w:type="paragraph" w:styleId="810">
    <w:name w:val="Title"/>
    <w:basedOn w:val="788"/>
    <w:next w:val="788"/>
    <w:link w:val="8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1" w:customStyle="1">
    <w:name w:val="Заголовок Знак"/>
    <w:basedOn w:val="798"/>
    <w:link w:val="810"/>
    <w:uiPriority w:val="10"/>
    <w:rPr>
      <w:sz w:val="48"/>
      <w:szCs w:val="48"/>
    </w:rPr>
  </w:style>
  <w:style w:type="character" w:styleId="812" w:customStyle="1">
    <w:name w:val="Subtitle Char"/>
    <w:basedOn w:val="798"/>
    <w:uiPriority w:val="11"/>
    <w:rPr>
      <w:sz w:val="24"/>
      <w:szCs w:val="24"/>
    </w:rPr>
  </w:style>
  <w:style w:type="character" w:styleId="813" w:customStyle="1">
    <w:name w:val="Quote Char"/>
    <w:uiPriority w:val="29"/>
    <w:rPr>
      <w:i/>
    </w:rPr>
  </w:style>
  <w:style w:type="character" w:styleId="814" w:customStyle="1">
    <w:name w:val="Intense Quote Char"/>
    <w:uiPriority w:val="30"/>
    <w:rPr>
      <w:i/>
    </w:rPr>
  </w:style>
  <w:style w:type="character" w:styleId="815" w:customStyle="1">
    <w:name w:val="Header Char"/>
    <w:basedOn w:val="798"/>
    <w:uiPriority w:val="99"/>
  </w:style>
  <w:style w:type="character" w:styleId="816" w:customStyle="1">
    <w:name w:val="Footer Char"/>
    <w:basedOn w:val="798"/>
    <w:uiPriority w:val="99"/>
  </w:style>
  <w:style w:type="character" w:styleId="817" w:customStyle="1">
    <w:name w:val="Нижний колонтитул Знак"/>
    <w:link w:val="958"/>
    <w:uiPriority w:val="99"/>
  </w:style>
  <w:style w:type="table" w:styleId="818" w:customStyle="1">
    <w:name w:val="Table Grid Light"/>
    <w:basedOn w:val="7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9">
    <w:name w:val="Plain Table 1"/>
    <w:basedOn w:val="79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>
    <w:name w:val="Plain Table 2"/>
    <w:basedOn w:val="79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>
    <w:name w:val="Plain Table 3"/>
    <w:basedOn w:val="7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>
    <w:name w:val="Plain Table 4"/>
    <w:basedOn w:val="7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Plain Table 5"/>
    <w:basedOn w:val="79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>
    <w:name w:val="Grid Table 1 Light"/>
    <w:basedOn w:val="79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1"/>
    <w:basedOn w:val="7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2"/>
    <w:basedOn w:val="7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3"/>
    <w:basedOn w:val="7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4"/>
    <w:basedOn w:val="7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5"/>
    <w:basedOn w:val="7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6"/>
    <w:basedOn w:val="7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2"/>
    <w:basedOn w:val="7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1"/>
    <w:basedOn w:val="7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2"/>
    <w:basedOn w:val="7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3"/>
    <w:basedOn w:val="7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4"/>
    <w:basedOn w:val="7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5"/>
    <w:basedOn w:val="7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6"/>
    <w:basedOn w:val="7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"/>
    <w:basedOn w:val="79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1"/>
    <w:basedOn w:val="79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2"/>
    <w:basedOn w:val="79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3"/>
    <w:basedOn w:val="79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4"/>
    <w:basedOn w:val="79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5"/>
    <w:basedOn w:val="79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6"/>
    <w:basedOn w:val="79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4"/>
    <w:basedOn w:val="79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 w:customStyle="1">
    <w:name w:val="Grid Table 4 - Accent 1"/>
    <w:basedOn w:val="79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7" w:customStyle="1">
    <w:name w:val="Grid Table 4 - Accent 2"/>
    <w:basedOn w:val="79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8" w:customStyle="1">
    <w:name w:val="Grid Table 4 - Accent 3"/>
    <w:basedOn w:val="79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9" w:customStyle="1">
    <w:name w:val="Grid Table 4 - Accent 4"/>
    <w:basedOn w:val="79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0" w:customStyle="1">
    <w:name w:val="Grid Table 4 - Accent 5"/>
    <w:basedOn w:val="79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1" w:customStyle="1">
    <w:name w:val="Grid Table 4 - Accent 6"/>
    <w:basedOn w:val="79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2">
    <w:name w:val="Grid Table 5 Dark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- Accent 1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2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3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4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5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6"/>
    <w:basedOn w:val="79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9">
    <w:name w:val="Grid Table 6 Colorful"/>
    <w:basedOn w:val="79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0" w:customStyle="1">
    <w:name w:val="Grid Table 6 Colorful - Accent 1"/>
    <w:basedOn w:val="79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1" w:customStyle="1">
    <w:name w:val="Grid Table 6 Colorful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2" w:customStyle="1">
    <w:name w:val="Grid Table 6 Colorful - Accent 3"/>
    <w:basedOn w:val="79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3" w:customStyle="1">
    <w:name w:val="Grid Table 6 Colorful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4" w:customStyle="1">
    <w:name w:val="Grid Table 6 Colorful - Accent 5"/>
    <w:basedOn w:val="79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5" w:customStyle="1">
    <w:name w:val="Grid Table 6 Colorful - Accent 6"/>
    <w:basedOn w:val="79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6">
    <w:name w:val="Grid Table 7 Colorful"/>
    <w:basedOn w:val="79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1"/>
    <w:basedOn w:val="79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2"/>
    <w:basedOn w:val="79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7 Colorful - Accent 3"/>
    <w:basedOn w:val="79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7 Colorful - Accent 4"/>
    <w:basedOn w:val="79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5"/>
    <w:basedOn w:val="79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6"/>
    <w:basedOn w:val="79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"/>
    <w:basedOn w:val="79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1"/>
    <w:basedOn w:val="79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2"/>
    <w:basedOn w:val="79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3"/>
    <w:basedOn w:val="79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4"/>
    <w:basedOn w:val="79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5"/>
    <w:basedOn w:val="79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6"/>
    <w:basedOn w:val="79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2"/>
    <w:basedOn w:val="79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1"/>
    <w:basedOn w:val="79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2"/>
    <w:basedOn w:val="79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3"/>
    <w:basedOn w:val="79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4"/>
    <w:basedOn w:val="79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5"/>
    <w:basedOn w:val="79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6"/>
    <w:basedOn w:val="79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7">
    <w:name w:val="List Table 3"/>
    <w:basedOn w:val="7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1"/>
    <w:basedOn w:val="79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3"/>
    <w:basedOn w:val="79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5"/>
    <w:basedOn w:val="79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6"/>
    <w:basedOn w:val="79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"/>
    <w:basedOn w:val="79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1"/>
    <w:basedOn w:val="79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2"/>
    <w:basedOn w:val="79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3"/>
    <w:basedOn w:val="79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4"/>
    <w:basedOn w:val="79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5"/>
    <w:basedOn w:val="79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6"/>
    <w:basedOn w:val="79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5 Dark"/>
    <w:basedOn w:val="79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1"/>
    <w:basedOn w:val="79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3"/>
    <w:basedOn w:val="79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5"/>
    <w:basedOn w:val="79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6"/>
    <w:basedOn w:val="79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>
    <w:name w:val="List Table 6 Colorful"/>
    <w:basedOn w:val="79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9" w:customStyle="1">
    <w:name w:val="List Table 6 Colorful - Accent 1"/>
    <w:basedOn w:val="79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0" w:customStyle="1">
    <w:name w:val="List Table 6 Colorful - Accent 2"/>
    <w:basedOn w:val="79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1" w:customStyle="1">
    <w:name w:val="List Table 6 Colorful - Accent 3"/>
    <w:basedOn w:val="79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2" w:customStyle="1">
    <w:name w:val="List Table 6 Colorful - Accent 4"/>
    <w:basedOn w:val="79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3" w:customStyle="1">
    <w:name w:val="List Table 6 Colorful - Accent 5"/>
    <w:basedOn w:val="79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4" w:customStyle="1">
    <w:name w:val="List Table 6 Colorful - Accent 6"/>
    <w:basedOn w:val="79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5">
    <w:name w:val="List Table 7 Colorful"/>
    <w:basedOn w:val="79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1"/>
    <w:basedOn w:val="79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2"/>
    <w:basedOn w:val="79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7 Colorful - Accent 3"/>
    <w:basedOn w:val="79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7 Colorful - Accent 4"/>
    <w:basedOn w:val="79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5"/>
    <w:basedOn w:val="79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6"/>
    <w:basedOn w:val="79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ned - Accent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Lined - Accent 1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4" w:customStyle="1">
    <w:name w:val="Lined - Accent 2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5" w:customStyle="1">
    <w:name w:val="Lined - Accent 3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6" w:customStyle="1">
    <w:name w:val="Lined - Accent 4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7" w:customStyle="1">
    <w:name w:val="Lined - Accent 5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8" w:customStyle="1">
    <w:name w:val="Lined - Accent 6"/>
    <w:basedOn w:val="79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9" w:customStyle="1">
    <w:name w:val="Bordered &amp; Lined - Accent"/>
    <w:basedOn w:val="79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Bordered &amp; Lined - Accent 1"/>
    <w:basedOn w:val="79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1" w:customStyle="1">
    <w:name w:val="Bordered &amp; Lined - Accent 2"/>
    <w:basedOn w:val="79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2" w:customStyle="1">
    <w:name w:val="Bordered &amp; Lined - Accent 3"/>
    <w:basedOn w:val="79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3" w:customStyle="1">
    <w:name w:val="Bordered &amp; Lined - Accent 4"/>
    <w:basedOn w:val="79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4" w:customStyle="1">
    <w:name w:val="Bordered &amp; Lined - Accent 5"/>
    <w:basedOn w:val="79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5" w:customStyle="1">
    <w:name w:val="Bordered &amp; Lined - Accent 6"/>
    <w:basedOn w:val="79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6" w:customStyle="1">
    <w:name w:val="Bordered"/>
    <w:basedOn w:val="79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7" w:customStyle="1">
    <w:name w:val="Bordered - Accent 1"/>
    <w:basedOn w:val="79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8" w:customStyle="1">
    <w:name w:val="Bordered - Accent 2"/>
    <w:basedOn w:val="79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9" w:customStyle="1">
    <w:name w:val="Bordered - Accent 3"/>
    <w:basedOn w:val="79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0" w:customStyle="1">
    <w:name w:val="Bordered - Accent 4"/>
    <w:basedOn w:val="79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1" w:customStyle="1">
    <w:name w:val="Bordered - Accent 5"/>
    <w:basedOn w:val="79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2" w:customStyle="1">
    <w:name w:val="Bordered - Accent 6"/>
    <w:basedOn w:val="79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3" w:customStyle="1">
    <w:name w:val="Footnote Text Char"/>
    <w:uiPriority w:val="99"/>
    <w:rPr>
      <w:sz w:val="18"/>
    </w:rPr>
  </w:style>
  <w:style w:type="character" w:styleId="944" w:customStyle="1">
    <w:name w:val="Endnote Text Char"/>
    <w:uiPriority w:val="99"/>
    <w:rPr>
      <w:sz w:val="20"/>
    </w:rPr>
  </w:style>
  <w:style w:type="paragraph" w:styleId="945">
    <w:name w:val="table of figures"/>
    <w:basedOn w:val="788"/>
    <w:next w:val="788"/>
    <w:uiPriority w:val="99"/>
    <w:unhideWhenUsed/>
  </w:style>
  <w:style w:type="paragraph" w:styleId="946" w:customStyle="1">
    <w:name w:val="Название раздела инструкции"/>
    <w:basedOn w:val="788"/>
    <w:pPr>
      <w:jc w:val="center"/>
    </w:pPr>
    <w:rPr>
      <w:b/>
    </w:rPr>
  </w:style>
  <w:style w:type="paragraph" w:styleId="947" w:customStyle="1">
    <w:name w:val="Раздел положения"/>
    <w:basedOn w:val="788"/>
    <w:pPr>
      <w:numPr>
        <w:ilvl w:val="0"/>
        <w:numId w:val="1"/>
      </w:numPr>
      <w:ind w:left="567" w:hanging="567"/>
      <w:jc w:val="center"/>
      <w:spacing w:before="80" w:after="80"/>
      <w:tabs>
        <w:tab w:val="clear" w:pos="360" w:leader="none"/>
        <w:tab w:val="num" w:pos="567" w:leader="none"/>
      </w:tabs>
    </w:pPr>
    <w:rPr>
      <w:b/>
      <w:sz w:val="32"/>
      <w:szCs w:val="32"/>
    </w:rPr>
  </w:style>
  <w:style w:type="paragraph" w:styleId="948" w:customStyle="1">
    <w:name w:val="Подраздел раздела положения"/>
    <w:basedOn w:val="788"/>
    <w:pPr>
      <w:numPr>
        <w:ilvl w:val="1"/>
        <w:numId w:val="1"/>
      </w:numPr>
      <w:jc w:val="both"/>
      <w:spacing w:before="80" w:after="80"/>
    </w:pPr>
  </w:style>
  <w:style w:type="paragraph" w:styleId="949">
    <w:name w:val="footnote text"/>
    <w:basedOn w:val="788"/>
    <w:link w:val="1023"/>
    <w:rPr>
      <w:sz w:val="20"/>
      <w:szCs w:val="20"/>
    </w:rPr>
  </w:style>
  <w:style w:type="character" w:styleId="950">
    <w:name w:val="footnote reference"/>
    <w:rPr>
      <w:vertAlign w:val="superscript"/>
    </w:rPr>
  </w:style>
  <w:style w:type="paragraph" w:styleId="951" w:customStyle="1">
    <w:name w:val="Шапка 1"/>
    <w:basedOn w:val="78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2" w:customStyle="1">
    <w:name w:val="Шапка 2"/>
    <w:basedOn w:val="78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3" w:customStyle="1">
    <w:name w:val="Шапка 3"/>
    <w:basedOn w:val="78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4" w:customStyle="1">
    <w:name w:val="Название1"/>
    <w:basedOn w:val="788"/>
    <w:link w:val="996"/>
    <w:uiPriority w:val="10"/>
    <w:qFormat/>
    <w:pPr>
      <w:jc w:val="center"/>
    </w:pPr>
    <w:rPr>
      <w:szCs w:val="20"/>
    </w:rPr>
  </w:style>
  <w:style w:type="paragraph" w:styleId="955">
    <w:name w:val="Header"/>
    <w:basedOn w:val="788"/>
    <w:link w:val="1040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6">
    <w:name w:val="Body Text Indent"/>
    <w:basedOn w:val="788"/>
    <w:pPr>
      <w:ind w:left="360"/>
    </w:pPr>
    <w:rPr>
      <w:sz w:val="24"/>
      <w:szCs w:val="24"/>
    </w:rPr>
  </w:style>
  <w:style w:type="table" w:styleId="957">
    <w:name w:val="Table Grid"/>
    <w:basedOn w:val="79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8">
    <w:name w:val="Footer"/>
    <w:basedOn w:val="788"/>
    <w:link w:val="817"/>
    <w:pPr>
      <w:tabs>
        <w:tab w:val="center" w:pos="4677" w:leader="none"/>
        <w:tab w:val="right" w:pos="9355" w:leader="none"/>
      </w:tabs>
    </w:pPr>
  </w:style>
  <w:style w:type="paragraph" w:styleId="959">
    <w:name w:val="Body Text"/>
    <w:basedOn w:val="788"/>
    <w:link w:val="1026"/>
    <w:pPr>
      <w:spacing w:after="120"/>
    </w:pPr>
  </w:style>
  <w:style w:type="paragraph" w:styleId="960">
    <w:name w:val="Body Text Indent 2"/>
    <w:basedOn w:val="788"/>
    <w:pPr>
      <w:ind w:left="283"/>
      <w:spacing w:after="120" w:line="480" w:lineRule="auto"/>
    </w:pPr>
  </w:style>
  <w:style w:type="paragraph" w:styleId="961">
    <w:name w:val="Body Text 3"/>
    <w:basedOn w:val="788"/>
    <w:pPr>
      <w:spacing w:after="120"/>
    </w:pPr>
    <w:rPr>
      <w:sz w:val="16"/>
      <w:szCs w:val="16"/>
    </w:rPr>
  </w:style>
  <w:style w:type="paragraph" w:styleId="962">
    <w:name w:val="Body Text Indent 3"/>
    <w:basedOn w:val="788"/>
    <w:pPr>
      <w:ind w:left="283"/>
      <w:spacing w:after="120"/>
    </w:pPr>
    <w:rPr>
      <w:sz w:val="16"/>
      <w:szCs w:val="16"/>
    </w:rPr>
  </w:style>
  <w:style w:type="paragraph" w:styleId="963">
    <w:name w:val="Body Text 2"/>
    <w:basedOn w:val="788"/>
    <w:pPr>
      <w:spacing w:after="120" w:line="480" w:lineRule="auto"/>
    </w:pPr>
  </w:style>
  <w:style w:type="paragraph" w:styleId="964">
    <w:name w:val="Block Text"/>
    <w:basedOn w:val="788"/>
    <w:pPr>
      <w:ind w:left="-567" w:right="-766"/>
      <w:jc w:val="center"/>
    </w:pPr>
    <w:rPr>
      <w:b/>
      <w:bCs/>
      <w:sz w:val="24"/>
      <w:szCs w:val="20"/>
    </w:rPr>
  </w:style>
  <w:style w:type="paragraph" w:styleId="965" w:customStyle="1">
    <w:name w:val="Подпункт"/>
    <w:basedOn w:val="788"/>
    <w:link w:val="102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6" w:customStyle="1">
    <w:name w:val="Пункт2"/>
    <w:basedOn w:val="788"/>
    <w:link w:val="104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7">
    <w:name w:val="page number"/>
    <w:basedOn w:val="798"/>
  </w:style>
  <w:style w:type="paragraph" w:styleId="968">
    <w:name w:val="toc 1"/>
    <w:basedOn w:val="788"/>
    <w:next w:val="788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69">
    <w:name w:val="toc 3"/>
    <w:basedOn w:val="788"/>
    <w:next w:val="788"/>
    <w:uiPriority w:val="39"/>
    <w:pPr>
      <w:ind w:left="280"/>
    </w:pPr>
    <w:rPr>
      <w:rFonts w:cstheme="minorHAnsi"/>
      <w:sz w:val="20"/>
      <w:szCs w:val="20"/>
    </w:rPr>
  </w:style>
  <w:style w:type="character" w:styleId="970">
    <w:name w:val="Hyperlink"/>
    <w:uiPriority w:val="99"/>
    <w:rPr>
      <w:color w:val="0000ff"/>
      <w:u w:val="single"/>
    </w:rPr>
  </w:style>
  <w:style w:type="paragraph" w:styleId="971" w:customStyle="1">
    <w:name w:val="Раздел регламента"/>
    <w:basedOn w:val="788"/>
  </w:style>
  <w:style w:type="paragraph" w:styleId="972" w:customStyle="1">
    <w:name w:val="Приложение к регламенту"/>
    <w:basedOn w:val="788"/>
    <w:pPr>
      <w:jc w:val="right"/>
    </w:pPr>
  </w:style>
  <w:style w:type="paragraph" w:styleId="973">
    <w:name w:val="toc 2"/>
    <w:basedOn w:val="788"/>
    <w:next w:val="788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974">
    <w:name w:val="Balloon Text"/>
    <w:basedOn w:val="788"/>
    <w:semiHidden/>
    <w:rPr>
      <w:rFonts w:ascii="Tahoma" w:hAnsi="Tahoma" w:cs="Tahoma"/>
      <w:sz w:val="16"/>
      <w:szCs w:val="16"/>
    </w:rPr>
  </w:style>
  <w:style w:type="character" w:styleId="975">
    <w:name w:val="annotation reference"/>
    <w:semiHidden/>
    <w:rPr>
      <w:sz w:val="16"/>
      <w:szCs w:val="16"/>
    </w:rPr>
  </w:style>
  <w:style w:type="paragraph" w:styleId="976">
    <w:name w:val="annotation text"/>
    <w:basedOn w:val="788"/>
    <w:link w:val="1041"/>
    <w:semiHidden/>
    <w:rPr>
      <w:sz w:val="20"/>
      <w:szCs w:val="20"/>
    </w:rPr>
  </w:style>
  <w:style w:type="paragraph" w:styleId="977">
    <w:name w:val="annotation subject"/>
    <w:basedOn w:val="976"/>
    <w:next w:val="976"/>
    <w:semiHidden/>
    <w:rPr>
      <w:b/>
      <w:bCs/>
    </w:rPr>
  </w:style>
  <w:style w:type="paragraph" w:styleId="978" w:customStyle="1">
    <w:name w:val="Обычный (веб)1"/>
    <w:basedOn w:val="78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9">
    <w:name w:val="toc 9"/>
    <w:basedOn w:val="788"/>
    <w:next w:val="788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0">
    <w:name w:val="toc 5"/>
    <w:basedOn w:val="788"/>
    <w:next w:val="788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1">
    <w:name w:val="toc 4"/>
    <w:basedOn w:val="788"/>
    <w:next w:val="788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982" w:customStyle="1">
    <w:name w:val="Раздел положения 2"/>
    <w:basedOn w:val="788"/>
    <w:pPr>
      <w:jc w:val="both"/>
      <w:pageBreakBefore/>
      <w:outlineLvl w:val="0"/>
    </w:pPr>
    <w:rPr>
      <w:b/>
    </w:rPr>
  </w:style>
  <w:style w:type="character" w:styleId="983">
    <w:name w:val="Strong"/>
    <w:uiPriority w:val="22"/>
    <w:qFormat/>
    <w:rPr>
      <w:b/>
      <w:bCs/>
    </w:rPr>
  </w:style>
  <w:style w:type="character" w:styleId="984" w:customStyle="1">
    <w:name w:val="Заголовок 6 Знак"/>
    <w:link w:val="794"/>
    <w:uiPriority w:val="9"/>
    <w:rPr>
      <w:rFonts w:ascii="Cambria" w:hAnsi="Cambria"/>
      <w:i/>
      <w:iCs/>
      <w:color w:val="243f60"/>
    </w:rPr>
  </w:style>
  <w:style w:type="character" w:styleId="985" w:customStyle="1">
    <w:name w:val="Заголовок 7 Знак"/>
    <w:link w:val="795"/>
    <w:uiPriority w:val="9"/>
    <w:rPr>
      <w:rFonts w:ascii="Cambria" w:hAnsi="Cambria"/>
      <w:i/>
      <w:iCs/>
      <w:color w:val="404040"/>
    </w:rPr>
  </w:style>
  <w:style w:type="character" w:styleId="986" w:customStyle="1">
    <w:name w:val="Заголовок 8 Знак"/>
    <w:link w:val="796"/>
    <w:uiPriority w:val="9"/>
    <w:rPr>
      <w:rFonts w:ascii="Cambria" w:hAnsi="Cambria"/>
      <w:color w:val="4f81bd"/>
    </w:rPr>
  </w:style>
  <w:style w:type="character" w:styleId="987" w:customStyle="1">
    <w:name w:val="Заголовок 1 Знак"/>
    <w:link w:val="789"/>
    <w:rPr>
      <w:rFonts w:eastAsia="Calibri"/>
      <w:b/>
      <w:sz w:val="28"/>
      <w:szCs w:val="28"/>
    </w:rPr>
  </w:style>
  <w:style w:type="paragraph" w:styleId="988" w:customStyle="1">
    <w:name w:val="Знак Знак Знак Знак Знак Знак Знак Знак Знак"/>
    <w:basedOn w:val="78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9" w:customStyle="1">
    <w:name w:val="Заголовок 2 Знак"/>
    <w:link w:val="790"/>
    <w:rPr>
      <w:rFonts w:eastAsia="Calibri"/>
      <w:b/>
      <w:bCs/>
      <w:sz w:val="24"/>
      <w:szCs w:val="24"/>
    </w:rPr>
  </w:style>
  <w:style w:type="character" w:styleId="990" w:customStyle="1">
    <w:name w:val="Заголовок 3 Знак"/>
    <w:link w:val="791"/>
    <w:rPr>
      <w:rFonts w:eastAsia="Calibri"/>
      <w:b/>
      <w:sz w:val="24"/>
      <w:szCs w:val="24"/>
    </w:rPr>
  </w:style>
  <w:style w:type="character" w:styleId="991" w:customStyle="1">
    <w:name w:val="Заголовок 4 Знак"/>
    <w:link w:val="792"/>
    <w:rPr>
      <w:rFonts w:eastAsia="Calibri"/>
      <w:b/>
      <w:bCs/>
      <w:sz w:val="24"/>
      <w:szCs w:val="24"/>
    </w:rPr>
  </w:style>
  <w:style w:type="character" w:styleId="992" w:customStyle="1">
    <w:name w:val="Заголовок 5 Знак"/>
    <w:link w:val="793"/>
    <w:uiPriority w:val="9"/>
    <w:rPr>
      <w:b/>
      <w:bCs/>
      <w:i/>
      <w:iCs/>
      <w:sz w:val="26"/>
      <w:szCs w:val="26"/>
    </w:rPr>
  </w:style>
  <w:style w:type="character" w:styleId="993" w:customStyle="1">
    <w:name w:val="Заголовок 9 Знак"/>
    <w:link w:val="797"/>
    <w:uiPriority w:val="9"/>
    <w:rPr>
      <w:rFonts w:ascii="Arial" w:hAnsi="Arial" w:cs="Arial"/>
      <w:sz w:val="22"/>
      <w:szCs w:val="22"/>
    </w:rPr>
  </w:style>
  <w:style w:type="paragraph" w:styleId="994">
    <w:name w:val="No Spacing"/>
    <w:basedOn w:val="78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5">
    <w:name w:val="Caption"/>
    <w:basedOn w:val="788"/>
    <w:next w:val="788"/>
    <w:link w:val="78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6" w:customStyle="1">
    <w:name w:val="Название Знак"/>
    <w:link w:val="954"/>
    <w:uiPriority w:val="10"/>
    <w:rPr>
      <w:sz w:val="28"/>
    </w:rPr>
  </w:style>
  <w:style w:type="paragraph" w:styleId="997">
    <w:name w:val="Subtitle"/>
    <w:basedOn w:val="788"/>
    <w:next w:val="788"/>
    <w:link w:val="99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8" w:customStyle="1">
    <w:name w:val="Подзаголовок Знак"/>
    <w:link w:val="99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9">
    <w:name w:val="Emphasis"/>
    <w:uiPriority w:val="20"/>
    <w:qFormat/>
    <w:rPr>
      <w:i/>
      <w:iCs/>
    </w:rPr>
  </w:style>
  <w:style w:type="paragraph" w:styleId="1000">
    <w:name w:val="List Paragraph"/>
    <w:basedOn w:val="788"/>
    <w:link w:val="103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1">
    <w:name w:val="Quote"/>
    <w:basedOn w:val="788"/>
    <w:next w:val="788"/>
    <w:link w:val="100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2" w:customStyle="1">
    <w:name w:val="Цитата 2 Знак"/>
    <w:link w:val="1001"/>
    <w:uiPriority w:val="29"/>
    <w:rPr>
      <w:rFonts w:ascii="Calibri" w:hAnsi="Calibri" w:eastAsia="Calibri"/>
      <w:i/>
      <w:iCs/>
      <w:color w:val="000000"/>
    </w:rPr>
  </w:style>
  <w:style w:type="paragraph" w:styleId="1003">
    <w:name w:val="Intense Quote"/>
    <w:basedOn w:val="788"/>
    <w:next w:val="788"/>
    <w:link w:val="100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4" w:customStyle="1">
    <w:name w:val="Выделенная цитата Знак"/>
    <w:link w:val="1003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5">
    <w:name w:val="Subtle Emphasis"/>
    <w:uiPriority w:val="19"/>
    <w:qFormat/>
    <w:rPr>
      <w:i/>
      <w:iCs/>
      <w:color w:val="808080"/>
    </w:rPr>
  </w:style>
  <w:style w:type="character" w:styleId="1006">
    <w:name w:val="Intense Emphasis"/>
    <w:uiPriority w:val="21"/>
    <w:qFormat/>
    <w:rPr>
      <w:b/>
      <w:bCs/>
      <w:i/>
      <w:iCs/>
      <w:color w:val="4f81bd"/>
    </w:rPr>
  </w:style>
  <w:style w:type="character" w:styleId="1007">
    <w:name w:val="Subtle Reference"/>
    <w:uiPriority w:val="31"/>
    <w:qFormat/>
    <w:rPr>
      <w:smallCaps/>
      <w:color w:val="c0504d"/>
      <w:u w:val="single"/>
    </w:rPr>
  </w:style>
  <w:style w:type="character" w:styleId="100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9">
    <w:name w:val="Book Title"/>
    <w:uiPriority w:val="33"/>
    <w:qFormat/>
    <w:rPr>
      <w:b/>
      <w:bCs/>
      <w:smallCaps/>
      <w:spacing w:val="5"/>
    </w:rPr>
  </w:style>
  <w:style w:type="paragraph" w:styleId="1010">
    <w:name w:val="TOC Heading"/>
    <w:basedOn w:val="789"/>
    <w:next w:val="78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1">
    <w:name w:val="E-mail Signature"/>
    <w:basedOn w:val="788"/>
    <w:link w:val="1012"/>
    <w:uiPriority w:val="99"/>
    <w:unhideWhenUsed/>
    <w:rPr>
      <w:rFonts w:eastAsia="Calibri"/>
      <w:sz w:val="24"/>
      <w:szCs w:val="24"/>
    </w:rPr>
  </w:style>
  <w:style w:type="character" w:styleId="1012" w:customStyle="1">
    <w:name w:val="Электронная подпись Знак"/>
    <w:link w:val="1011"/>
    <w:uiPriority w:val="99"/>
    <w:rPr>
      <w:rFonts w:eastAsia="Calibri"/>
      <w:sz w:val="24"/>
      <w:szCs w:val="24"/>
    </w:rPr>
  </w:style>
  <w:style w:type="paragraph" w:styleId="1013" w:customStyle="1">
    <w:name w:val="Знак"/>
    <w:basedOn w:val="78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4" w:customStyle="1">
    <w:name w:val="Нумерованный список ур3"/>
    <w:basedOn w:val="78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5" w:customStyle="1">
    <w:name w:val="Нумерованный список 1"/>
    <w:basedOn w:val="78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6" w:customStyle="1">
    <w:name w:val="Нумерованный список ур2"/>
    <w:basedOn w:val="78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7">
    <w:name w:val="Revision"/>
    <w:hidden/>
    <w:uiPriority w:val="99"/>
    <w:semiHidden/>
    <w:rPr>
      <w:rFonts w:eastAsia="Calibri"/>
      <w:sz w:val="24"/>
      <w:szCs w:val="24"/>
    </w:rPr>
  </w:style>
  <w:style w:type="paragraph" w:styleId="101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9" w:customStyle="1">
    <w:name w:val="Знак Знак3 Знак Знак"/>
    <w:basedOn w:val="78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20" w:customStyle="1">
    <w:name w:val="Пункт"/>
    <w:basedOn w:val="78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1" w:customStyle="1">
    <w:name w:val="Подпункт Знак1"/>
    <w:link w:val="965"/>
    <w:rPr>
      <w:sz w:val="28"/>
    </w:rPr>
  </w:style>
  <w:style w:type="paragraph" w:styleId="1022" w:customStyle="1">
    <w:name w:val="Абзац списка1"/>
    <w:basedOn w:val="788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23" w:customStyle="1">
    <w:name w:val="Текст сноски Знак"/>
    <w:link w:val="949"/>
  </w:style>
  <w:style w:type="numbering" w:styleId="1024" w:customStyle="1">
    <w:name w:val="Стиль1"/>
    <w:uiPriority w:val="99"/>
    <w:pPr>
      <w:numPr>
        <w:ilvl w:val="0"/>
        <w:numId w:val="3"/>
      </w:numPr>
    </w:pPr>
  </w:style>
  <w:style w:type="paragraph" w:styleId="1025" w:customStyle="1">
    <w:name w:val="Таблица"/>
    <w:basedOn w:val="78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6" w:customStyle="1">
    <w:name w:val="Основной текст Знак"/>
    <w:link w:val="959"/>
    <w:rPr>
      <w:sz w:val="28"/>
      <w:szCs w:val="28"/>
    </w:rPr>
  </w:style>
  <w:style w:type="character" w:styleId="1027" w:customStyle="1">
    <w:name w:val="blk"/>
  </w:style>
  <w:style w:type="numbering" w:styleId="1028" w:customStyle="1">
    <w:name w:val="Стиль2"/>
    <w:uiPriority w:val="99"/>
    <w:pPr>
      <w:numPr>
        <w:ilvl w:val="0"/>
        <w:numId w:val="5"/>
      </w:numPr>
    </w:pPr>
  </w:style>
  <w:style w:type="paragraph" w:styleId="1029" w:customStyle="1">
    <w:name w:val="Таблица шапка"/>
    <w:basedOn w:val="788"/>
    <w:pPr>
      <w:ind w:left="57" w:right="57"/>
      <w:keepNext/>
      <w:spacing w:before="40" w:after="40"/>
    </w:pPr>
    <w:rPr>
      <w:sz w:val="22"/>
      <w:szCs w:val="26"/>
    </w:rPr>
  </w:style>
  <w:style w:type="character" w:styleId="1030" w:customStyle="1">
    <w:name w:val="Абзац списка Знак"/>
    <w:link w:val="1000"/>
    <w:uiPriority w:val="34"/>
    <w:qFormat/>
    <w:rPr>
      <w:rFonts w:eastAsia="Calibri"/>
      <w:sz w:val="24"/>
      <w:szCs w:val="24"/>
    </w:rPr>
  </w:style>
  <w:style w:type="character" w:styleId="1031" w:customStyle="1">
    <w:name w:val="комментарий"/>
    <w:rPr>
      <w:b/>
      <w:i/>
      <w:shd w:val="clear" w:color="auto" w:fill="ffff99"/>
    </w:rPr>
  </w:style>
  <w:style w:type="paragraph" w:styleId="1032" w:customStyle="1">
    <w:name w:val="Подподпункт"/>
    <w:basedOn w:val="965"/>
    <w:link w:val="103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33" w:customStyle="1">
    <w:name w:val="Подподпункт Знак"/>
    <w:link w:val="1032"/>
    <w:rPr>
      <w:sz w:val="26"/>
      <w:szCs w:val="26"/>
    </w:rPr>
  </w:style>
  <w:style w:type="paragraph" w:styleId="1034" w:customStyle="1">
    <w:name w:val="УРОВЕНЬ_(а)"/>
    <w:basedOn w:val="100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5" w:customStyle="1">
    <w:name w:val="УРОВЕНЬ_-"/>
    <w:basedOn w:val="100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6" w:customStyle="1">
    <w:name w:val="УРОВЕНЬ_Абзац_тип2"/>
    <w:basedOn w:val="100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7" w:customStyle="1">
    <w:name w:val="УРОВЕНЬ_Абзац_тип3"/>
    <w:basedOn w:val="1000"/>
    <w:link w:val="103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8" w:customStyle="1">
    <w:name w:val="УРОВЕНЬ_Подпись"/>
    <w:basedOn w:val="100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9" w:customStyle="1">
    <w:name w:val="УРОВЕНЬ_Абзац_тип3 Знак"/>
    <w:link w:val="1037"/>
    <w:rPr>
      <w:rFonts w:eastAsia="Calibri"/>
      <w:sz w:val="26"/>
      <w:szCs w:val="28"/>
      <w:lang w:eastAsia="en-US"/>
    </w:rPr>
  </w:style>
  <w:style w:type="character" w:styleId="1040" w:customStyle="1">
    <w:name w:val="Верхний колонтитул Знак"/>
    <w:link w:val="955"/>
    <w:uiPriority w:val="99"/>
    <w:rPr>
      <w:sz w:val="24"/>
      <w:szCs w:val="24"/>
    </w:rPr>
  </w:style>
  <w:style w:type="character" w:styleId="1041" w:customStyle="1">
    <w:name w:val="Текст примечания Знак"/>
    <w:link w:val="976"/>
    <w:semiHidden/>
  </w:style>
  <w:style w:type="paragraph" w:styleId="1042" w:customStyle="1">
    <w:name w:val="Стиль Заголовок 1 + по ширине"/>
    <w:basedOn w:val="789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43">
    <w:name w:val="endnote text"/>
    <w:basedOn w:val="788"/>
    <w:link w:val="1044"/>
    <w:rPr>
      <w:sz w:val="20"/>
      <w:szCs w:val="20"/>
    </w:rPr>
  </w:style>
  <w:style w:type="character" w:styleId="1044" w:customStyle="1">
    <w:name w:val="Текст концевой сноски Знак"/>
    <w:basedOn w:val="798"/>
    <w:link w:val="1043"/>
  </w:style>
  <w:style w:type="character" w:styleId="1045">
    <w:name w:val="endnote reference"/>
    <w:basedOn w:val="798"/>
    <w:rPr>
      <w:vertAlign w:val="superscript"/>
    </w:rPr>
  </w:style>
  <w:style w:type="paragraph" w:styleId="1046" w:customStyle="1">
    <w:name w:val="Заголовок 2 КВВ"/>
    <w:basedOn w:val="78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7" w:customStyle="1">
    <w:name w:val="Пункт2 Знак"/>
    <w:link w:val="966"/>
    <w:rPr>
      <w:b/>
      <w:sz w:val="28"/>
    </w:rPr>
  </w:style>
  <w:style w:type="paragraph" w:styleId="1048" w:customStyle="1">
    <w:name w:val="Таблица текст"/>
    <w:basedOn w:val="788"/>
    <w:pPr>
      <w:ind w:left="57" w:right="57"/>
      <w:spacing w:before="40" w:after="40"/>
    </w:pPr>
    <w:rPr>
      <w:sz w:val="24"/>
      <w:szCs w:val="26"/>
    </w:rPr>
  </w:style>
  <w:style w:type="paragraph" w:styleId="1049">
    <w:name w:val="Normal (Web)"/>
    <w:basedOn w:val="788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50" w:customStyle="1">
    <w:name w:val="УРОВЕНЬ_1."/>
    <w:basedOn w:val="1000"/>
    <w:link w:val="105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51" w:customStyle="1">
    <w:name w:val="УРОВЕНЬ_1. Знак"/>
    <w:link w:val="1050"/>
    <w:rPr>
      <w:rFonts w:eastAsia="Calibri"/>
      <w:caps/>
      <w:sz w:val="28"/>
      <w:szCs w:val="28"/>
      <w:lang w:eastAsia="en-US"/>
    </w:rPr>
  </w:style>
  <w:style w:type="table" w:styleId="1052" w:customStyle="1">
    <w:name w:val="Сетка таблицы1"/>
    <w:basedOn w:val="799"/>
    <w:next w:val="95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3">
    <w:name w:val="toc 6"/>
    <w:basedOn w:val="788"/>
    <w:next w:val="788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4">
    <w:name w:val="toc 7"/>
    <w:basedOn w:val="788"/>
    <w:next w:val="788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5">
    <w:name w:val="toc 8"/>
    <w:basedOn w:val="788"/>
    <w:next w:val="788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056" w:customStyle="1">
    <w:name w:val="Знак Знак Знак2 Знак1 Знак Знак"/>
    <w:basedOn w:val="788"/>
    <w:pPr>
      <w:spacing w:before="100" w:beforeAutospacing="1" w:after="100" w:afterAutospacing="1"/>
    </w:pPr>
    <w:rPr>
      <w:rFonts w:ascii="Tahoma" w:hAnsi="Tahoma"/>
      <w:sz w:val="24"/>
      <w:szCs w:val="24"/>
      <w:lang w:val="en-US" w:eastAsia="en-US"/>
    </w:rPr>
  </w:style>
  <w:style w:type="character" w:styleId="1057" w:customStyle="1">
    <w:name w:val="Заголовок сообщения (текст)"/>
    <w:rPr>
      <w:rFonts w:hint="default" w:ascii="Arial" w:hAnsi="Arial" w:cs="Arial"/>
      <w:b/>
      <w:bCs w:val="0"/>
      <w:spacing w:val="-4"/>
      <w:position w:val="0"/>
      <w:sz w:val="18"/>
      <w:vertAlign w:val="baseline"/>
      <w:lang w:eastAsia="ar-SA" w:bidi="ar-SA"/>
    </w:rPr>
  </w:style>
  <w:style w:type="character" w:styleId="1058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character" w:styleId="1059" w:customStyle="1">
    <w:name w:val="wmi-callto"/>
    <w:basedOn w:val="798"/>
  </w:style>
  <w:style w:type="character" w:styleId="1060" w:customStyle="1">
    <w:name w:val="apple-converted-space"/>
    <w:basedOn w:val="798"/>
  </w:style>
  <w:style w:type="character" w:styleId="1061">
    <w:name w:val="FollowedHyperlink"/>
    <w:basedOn w:val="798"/>
    <w:uiPriority w:val="99"/>
    <w:semiHidden/>
    <w:unhideWhenUsed/>
    <w:rPr>
      <w:color w:val="800080"/>
      <w:u w:val="single"/>
    </w:rPr>
  </w:style>
  <w:style w:type="paragraph" w:styleId="1062" w:customStyle="1">
    <w:name w:val="msonormal"/>
    <w:basedOn w:val="788"/>
    <w:pPr>
      <w:spacing w:before="100" w:beforeAutospacing="1" w:after="100" w:afterAutospacing="1"/>
    </w:pPr>
    <w:rPr>
      <w:sz w:val="24"/>
      <w:szCs w:val="24"/>
    </w:rPr>
  </w:style>
  <w:style w:type="paragraph" w:styleId="1063" w:customStyle="1">
    <w:name w:val="xl73"/>
    <w:basedOn w:val="788"/>
    <w:pPr>
      <w:spacing w:before="100" w:beforeAutospacing="1" w:after="100" w:afterAutospacing="1"/>
    </w:pPr>
    <w:rPr>
      <w:sz w:val="24"/>
      <w:szCs w:val="24"/>
    </w:rPr>
  </w:style>
  <w:style w:type="paragraph" w:styleId="1064" w:customStyle="1">
    <w:name w:val="xl74"/>
    <w:basedOn w:val="788"/>
    <w:pPr>
      <w:jc w:val="center"/>
      <w:spacing w:before="100" w:beforeAutospacing="1" w:after="100" w:afterAutospacing="1"/>
    </w:pPr>
    <w:rPr>
      <w:sz w:val="18"/>
      <w:szCs w:val="18"/>
    </w:rPr>
  </w:style>
  <w:style w:type="paragraph" w:styleId="1065" w:customStyle="1">
    <w:name w:val="xl75"/>
    <w:basedOn w:val="788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66" w:customStyle="1">
    <w:name w:val="xl76"/>
    <w:basedOn w:val="788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67" w:customStyle="1">
    <w:name w:val="xl77"/>
    <w:basedOn w:val="788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68" w:customStyle="1">
    <w:name w:val="xl78"/>
    <w:basedOn w:val="78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69" w:customStyle="1">
    <w:name w:val="xl79"/>
    <w:basedOn w:val="78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0" w:customStyle="1">
    <w:name w:val="xl80"/>
    <w:basedOn w:val="78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1" w:customStyle="1">
    <w:name w:val="xl81"/>
    <w:basedOn w:val="78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2" w:customStyle="1">
    <w:name w:val="xl82"/>
    <w:basedOn w:val="78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3" w:customStyle="1">
    <w:name w:val="xl83"/>
    <w:basedOn w:val="78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4" w:customStyle="1">
    <w:name w:val="xl84"/>
    <w:basedOn w:val="788"/>
    <w:pPr>
      <w:spacing w:before="100" w:beforeAutospacing="1" w:after="100" w:afterAutospacing="1"/>
    </w:pPr>
    <w:rPr>
      <w:sz w:val="18"/>
      <w:szCs w:val="18"/>
    </w:rPr>
  </w:style>
  <w:style w:type="paragraph" w:styleId="1075" w:customStyle="1">
    <w:name w:val="xl85"/>
    <w:basedOn w:val="788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6" w:customStyle="1">
    <w:name w:val="xl86"/>
    <w:basedOn w:val="788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7" w:customStyle="1">
    <w:name w:val="xl87"/>
    <w:basedOn w:val="788"/>
    <w:pPr>
      <w:jc w:val="center"/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8" w:customStyle="1">
    <w:name w:val="xl88"/>
    <w:basedOn w:val="788"/>
    <w:pPr>
      <w:spacing w:before="100" w:beforeAutospacing="1" w:after="100" w:afterAutospacing="1"/>
      <w:shd w:val="clear" w:color="ffffff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079" w:customStyle="1">
    <w:name w:val="xl89"/>
    <w:basedOn w:val="78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80" w:customStyle="1">
    <w:name w:val="xl90"/>
    <w:basedOn w:val="78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81" w:customStyle="1">
    <w:name w:val="xl91"/>
    <w:basedOn w:val="78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82" w:customStyle="1">
    <w:name w:val="xl92"/>
    <w:basedOn w:val="78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83" w:customStyle="1">
    <w:name w:val="xl93"/>
    <w:basedOn w:val="788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84" w:customStyle="1">
    <w:name w:val="xl94"/>
    <w:basedOn w:val="788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consultant.ru/document/cons_doc_LAW_61801/a15bab6050028753706f22c32fe60627a7be79f9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63AB3-E49E-41AE-8E91-A2B8B7F5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nikitina_nv</cp:lastModifiedBy>
  <cp:revision>77</cp:revision>
  <dcterms:created xsi:type="dcterms:W3CDTF">2023-03-02T00:35:00Z</dcterms:created>
  <dcterms:modified xsi:type="dcterms:W3CDTF">2026-06-15T05:18:14Z</dcterms:modified>
</cp:coreProperties>
</file>